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val="en-US" w:eastAsia="zh-CN"/>
        </w:rPr>
        <w:t>2022年度</w:t>
      </w:r>
      <w:r>
        <w:rPr>
          <w:rFonts w:hint="eastAsia" w:ascii="黑体" w:hAnsi="黑体" w:eastAsia="黑体" w:cs="黑体"/>
          <w:b/>
          <w:bCs/>
          <w:sz w:val="48"/>
          <w:szCs w:val="48"/>
        </w:rPr>
        <w:t>招生考试项目</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黑体" w:hAnsi="黑体" w:eastAsia="黑体" w:cs="黑体"/>
          <w:b/>
          <w:bCs/>
          <w:sz w:val="72"/>
          <w:szCs w:val="7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72"/>
          <w:szCs w:val="72"/>
        </w:rPr>
      </w:pPr>
      <w:r>
        <w:rPr>
          <w:rFonts w:hint="eastAsia" w:ascii="黑体" w:hAnsi="黑体" w:eastAsia="黑体" w:cs="黑体"/>
          <w:b/>
          <w:bCs/>
          <w:sz w:val="72"/>
          <w:szCs w:val="72"/>
        </w:rPr>
        <w:t>实</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72"/>
          <w:szCs w:val="72"/>
        </w:rPr>
      </w:pPr>
      <w:r>
        <w:rPr>
          <w:rFonts w:hint="eastAsia" w:ascii="黑体" w:hAnsi="黑体" w:eastAsia="黑体" w:cs="黑体"/>
          <w:b/>
          <w:bCs/>
          <w:sz w:val="72"/>
          <w:szCs w:val="72"/>
        </w:rPr>
        <w:t>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84"/>
          <w:szCs w:val="84"/>
        </w:rPr>
      </w:pPr>
      <w:r>
        <w:rPr>
          <w:rFonts w:hint="eastAsia" w:ascii="黑体" w:hAnsi="黑体" w:eastAsia="黑体" w:cs="黑体"/>
          <w:b/>
          <w:bCs/>
          <w:sz w:val="72"/>
          <w:szCs w:val="72"/>
        </w:rPr>
        <w:t>方</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72"/>
          <w:szCs w:val="72"/>
        </w:rPr>
      </w:pPr>
      <w:r>
        <w:rPr>
          <w:rFonts w:hint="eastAsia" w:ascii="黑体" w:hAnsi="黑体" w:eastAsia="黑体" w:cs="黑体"/>
          <w:b/>
          <w:bCs/>
          <w:sz w:val="72"/>
          <w:szCs w:val="72"/>
        </w:rPr>
        <w:t>案</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48"/>
          <w:szCs w:val="48"/>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责任单位：厦门市教育局</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2022年1月</w:t>
      </w:r>
    </w:p>
    <w:p>
      <w:pP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val="0"/>
          <w:sz w:val="44"/>
          <w:szCs w:val="44"/>
          <w:lang w:val="en-US" w:eastAsia="zh-CN"/>
        </w:rPr>
      </w:pPr>
    </w:p>
    <w:sdt>
      <w:sdtPr>
        <w:rPr>
          <w:rFonts w:ascii="宋体" w:hAnsi="宋体" w:eastAsia="宋体" w:cstheme="minorBidi"/>
          <w:b/>
          <w:bCs/>
          <w:kern w:val="2"/>
          <w:sz w:val="32"/>
          <w:szCs w:val="32"/>
          <w:lang w:val="en-US" w:eastAsia="zh-CN" w:bidi="ar-SA"/>
        </w:rPr>
        <w:id w:val="147455635"/>
        <w15:color w:val="DBDBDB"/>
        <w:docPartObj>
          <w:docPartGallery w:val="Table of Contents"/>
          <w:docPartUnique/>
        </w:docPartObj>
      </w:sdtPr>
      <w:sdtEndPr>
        <w:rPr>
          <w:rFonts w:hint="eastAsia" w:ascii="黑体" w:hAnsi="黑体" w:eastAsia="黑体" w:cs="黑体"/>
          <w:b/>
          <w:bCs/>
          <w:kern w:val="2"/>
          <w:sz w:val="21"/>
          <w:szCs w:val="4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2"/>
            <w:tabs>
              <w:tab w:val="right" w:leader="dot" w:pos="9240"/>
            </w:tabs>
            <w:rPr>
              <w:rFonts w:hint="eastAsia" w:ascii="黑体" w:hAnsi="黑体" w:eastAsia="黑体" w:cs="黑体"/>
              <w:sz w:val="28"/>
              <w:szCs w:val="28"/>
            </w:rPr>
          </w:pPr>
          <w:r>
            <w:rPr>
              <w:rFonts w:hint="eastAsia" w:ascii="黑体" w:hAnsi="黑体" w:eastAsia="黑体" w:cs="黑体"/>
              <w:b w:val="0"/>
              <w:bCs w:val="0"/>
              <w:sz w:val="28"/>
              <w:szCs w:val="28"/>
              <w:lang w:val="en-US" w:eastAsia="zh-CN"/>
            </w:rPr>
            <w:fldChar w:fldCharType="begin"/>
          </w:r>
          <w:r>
            <w:rPr>
              <w:rFonts w:hint="eastAsia" w:ascii="黑体" w:hAnsi="黑体" w:eastAsia="黑体" w:cs="黑体"/>
              <w:b w:val="0"/>
              <w:bCs w:val="0"/>
              <w:sz w:val="28"/>
              <w:szCs w:val="28"/>
              <w:lang w:val="en-US" w:eastAsia="zh-CN"/>
            </w:rPr>
            <w:instrText xml:space="preserve">TOC \o "1-2" \h \u </w:instrText>
          </w:r>
          <w:r>
            <w:rPr>
              <w:rFonts w:hint="eastAsia" w:ascii="黑体" w:hAnsi="黑体" w:eastAsia="黑体" w:cs="黑体"/>
              <w:b w:val="0"/>
              <w:bCs w:val="0"/>
              <w:sz w:val="28"/>
              <w:szCs w:val="28"/>
              <w:lang w:val="en-US" w:eastAsia="zh-CN"/>
            </w:rPr>
            <w:fldChar w:fldCharType="separate"/>
          </w: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_Toc30409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一、 项目基本情况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_Toc30409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_Toc26913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（一） 政策依据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_Toc26913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_Toc31346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（二） 申报资金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_Toc31346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_Toc31395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（三） 绩效目标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_Toc31395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2"/>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_Toc22036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二、 项目实施计划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_Toc22036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_Toc1631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（一） 资金投入计划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_Toc1631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_Toc27029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（二）工作流程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_Toc27029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_Toc28644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（三） 项目保障措施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_Toc28644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2"/>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_Toc26774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三、 项目绩效管理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_Toc26774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_Toc18769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（一） 事前评估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_Toc18769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_Toc15774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（二） 事中监控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_Toc15774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rPr>
              <w:rFonts w:hint="eastAsia" w:ascii="黑体" w:hAnsi="黑体" w:eastAsia="黑体" w:cs="黑体"/>
              <w:sz w:val="28"/>
              <w:szCs w:val="28"/>
            </w:rPr>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_Toc30830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（三） 事后自评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_Toc30830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pStyle w:val="3"/>
            <w:tabs>
              <w:tab w:val="right" w:leader="dot" w:pos="9240"/>
            </w:tabs>
          </w:pPr>
          <w:r>
            <w:rPr>
              <w:rFonts w:hint="eastAsia" w:ascii="黑体" w:hAnsi="黑体" w:eastAsia="黑体" w:cs="黑体"/>
              <w:bCs w:val="0"/>
              <w:sz w:val="28"/>
              <w:szCs w:val="28"/>
              <w:lang w:val="en-US" w:eastAsia="zh-CN"/>
            </w:rPr>
            <w:fldChar w:fldCharType="begin"/>
          </w:r>
          <w:r>
            <w:rPr>
              <w:rFonts w:hint="eastAsia" w:ascii="黑体" w:hAnsi="黑体" w:eastAsia="黑体" w:cs="黑体"/>
              <w:bCs w:val="0"/>
              <w:sz w:val="28"/>
              <w:szCs w:val="28"/>
              <w:lang w:val="en-US" w:eastAsia="zh-CN"/>
            </w:rPr>
            <w:instrText xml:space="preserve"> HYPERLINK \l _Toc12099 </w:instrText>
          </w:r>
          <w:r>
            <w:rPr>
              <w:rFonts w:hint="eastAsia" w:ascii="黑体" w:hAnsi="黑体" w:eastAsia="黑体" w:cs="黑体"/>
              <w:bCs w:val="0"/>
              <w:sz w:val="28"/>
              <w:szCs w:val="28"/>
              <w:lang w:val="en-US" w:eastAsia="zh-CN"/>
            </w:rPr>
            <w:fldChar w:fldCharType="separate"/>
          </w:r>
          <w:r>
            <w:rPr>
              <w:rFonts w:hint="eastAsia" w:ascii="黑体" w:hAnsi="黑体" w:eastAsia="黑体" w:cs="黑体"/>
              <w:bCs/>
              <w:sz w:val="28"/>
              <w:szCs w:val="28"/>
              <w:lang w:val="en-US" w:eastAsia="zh-CN"/>
            </w:rPr>
            <w:t>（四） 第三方评价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_Toc12099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val="0"/>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Cs w:val="0"/>
              <w:szCs w:val="28"/>
              <w:lang w:val="en-US" w:eastAsia="zh-CN"/>
            </w:rPr>
            <w:fldChar w:fldCharType="end"/>
          </w:r>
        </w:p>
      </w:sdtContent>
    </w:sdt>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黑体" w:hAnsi="黑体" w:eastAsia="黑体" w:cs="黑体"/>
          <w:b/>
          <w:bCs/>
          <w:sz w:val="30"/>
          <w:szCs w:val="30"/>
          <w:lang w:val="en-US" w:eastAsia="zh-CN"/>
        </w:rPr>
      </w:pPr>
      <w:bookmarkStart w:id="0" w:name="_Toc30409"/>
      <w:r>
        <w:rPr>
          <w:rFonts w:hint="eastAsia" w:ascii="黑体" w:hAnsi="黑体" w:eastAsia="黑体" w:cs="黑体"/>
          <w:b/>
          <w:bCs/>
          <w:sz w:val="30"/>
          <w:szCs w:val="30"/>
          <w:lang w:val="en-US" w:eastAsia="zh-CN"/>
        </w:rPr>
        <w:t>项目基本情况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招生考试项目属于固定项目，主要用于每年承担的各项考试考务支出，考试项目主要包含自考、中考、高考（含空军招飞）、成考、研考、专升本考试、学考、质检考、高职扩招、军队文职考试等三十多场考试，各项考试主要根依据福建省教育考试院发布的考试通知组织实施，涉及考生超过30万人次，经费主要用于各项考试的日常业务支出、下拨考试考场经费、交通差旅费支出以及劳务费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default" w:ascii="黑体" w:hAnsi="黑体" w:eastAsia="黑体" w:cs="黑体"/>
          <w:b/>
          <w:bCs/>
          <w:sz w:val="30"/>
          <w:szCs w:val="30"/>
          <w:lang w:val="en-US" w:eastAsia="zh-CN"/>
        </w:rPr>
      </w:pPr>
      <w:bookmarkStart w:id="1" w:name="_Toc26913"/>
      <w:r>
        <w:rPr>
          <w:rFonts w:hint="eastAsia" w:ascii="黑体" w:hAnsi="黑体" w:eastAsia="黑体" w:cs="黑体"/>
          <w:b/>
          <w:bCs/>
          <w:sz w:val="30"/>
          <w:szCs w:val="30"/>
          <w:lang w:val="en-US" w:eastAsia="zh-CN"/>
        </w:rPr>
        <w:t>政策依据</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依据《厦门教育局厦门市财政局关于印发教育考务劳务费支出项目和标准的通知》（厦教财﹝2018﹞4号）、《厦门教育局厦门市财政局关于印发教育考务劳务费支出项目和标准实施细则的通知》（厦教财﹝2018﹞20号）等相关文件，编制招生考</w:t>
      </w:r>
      <w:bookmarkStart w:id="11" w:name="_GoBack"/>
      <w:bookmarkEnd w:id="11"/>
      <w:r>
        <w:rPr>
          <w:rFonts w:hint="eastAsia" w:ascii="仿宋" w:hAnsi="仿宋" w:eastAsia="仿宋" w:cs="仿宋"/>
          <w:kern w:val="0"/>
          <w:sz w:val="32"/>
          <w:szCs w:val="32"/>
          <w:lang w:val="en-US" w:eastAsia="zh-CN" w:bidi="ar"/>
        </w:rPr>
        <w:t>试经费预算全部用于与高考、高中学业水平考试、初中毕业学业水平考试等相关的各项考试开支。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default" w:ascii="黑体" w:hAnsi="黑体" w:eastAsia="黑体" w:cs="黑体"/>
          <w:b/>
          <w:bCs/>
          <w:sz w:val="30"/>
          <w:szCs w:val="30"/>
          <w:lang w:val="en-US" w:eastAsia="zh-CN"/>
        </w:rPr>
      </w:pPr>
      <w:bookmarkStart w:id="2" w:name="_Toc31346"/>
      <w:r>
        <w:rPr>
          <w:rFonts w:hint="eastAsia" w:ascii="黑体" w:hAnsi="黑体" w:eastAsia="黑体" w:cs="黑体"/>
          <w:b/>
          <w:bCs/>
          <w:sz w:val="30"/>
          <w:szCs w:val="30"/>
          <w:lang w:val="en-US" w:eastAsia="zh-CN"/>
        </w:rPr>
        <w:t>申报资金</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招生考试项目主要用于本单位承担的各项考试考务支出，资金来源分为一般公共财政预算和其他收入（包括省拨考试考务补助经费等）,合计4447.9万元。一般公共财政预算支出包括：1.军队文职考试支出0.3万元；2.自考考务费555.92万元；3.中考考务费本级850.21万元；4.学业水平考试考务费本级12.5万元；5.高考考务费2.66万元；6.全国计算机等级考试考务费1.3万元; 7.成考考务费89.77万元；8.高职招考、扩招考务费12.38万元；8、研究生考务费188.26万元；9、专升本考务费66.7万元;合计1780万元。其他收入预算支出包括：1.自考考务费961.2万元(含CET、教师资格、教师招聘等)；2.高考考务费309万元；3.研考考务费216万元；4.成考考务费207万元；5.专升本考试考务费84万元；6.全国计算机等级考试考务费6万元；8.招飞工作经费0.8万元；合计1784万元。教师招聘、职称评审及资格证等管理经费240万元。合计4447.9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default" w:ascii="黑体" w:hAnsi="黑体" w:eastAsia="黑体" w:cs="黑体"/>
          <w:b/>
          <w:bCs/>
          <w:sz w:val="30"/>
          <w:szCs w:val="30"/>
          <w:lang w:val="en-US" w:eastAsia="zh-CN"/>
        </w:rPr>
      </w:pPr>
      <w:bookmarkStart w:id="3" w:name="_Toc31395"/>
      <w:r>
        <w:rPr>
          <w:rFonts w:hint="eastAsia" w:ascii="黑体" w:hAnsi="黑体" w:eastAsia="黑体" w:cs="黑体"/>
          <w:b/>
          <w:bCs/>
          <w:sz w:val="30"/>
          <w:szCs w:val="30"/>
          <w:lang w:val="en-US" w:eastAsia="zh-CN"/>
        </w:rPr>
        <w:t>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lef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1.总体目标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kern w:val="0"/>
          <w:sz w:val="32"/>
          <w:szCs w:val="32"/>
          <w:lang w:val="en-US" w:eastAsia="zh-CN" w:bidi="ar"/>
        </w:rPr>
      </w:pPr>
      <w:r>
        <w:rPr>
          <w:rFonts w:hint="eastAsia" w:ascii="宋体" w:hAnsi="宋体" w:eastAsia="宋体" w:cs="宋体"/>
          <w:b w:val="0"/>
          <w:bCs w:val="0"/>
          <w:sz w:val="28"/>
          <w:szCs w:val="28"/>
          <w:lang w:val="en-US" w:eastAsia="zh-CN"/>
        </w:rPr>
        <w:t xml:space="preserve"> </w:t>
      </w:r>
      <w:r>
        <w:rPr>
          <w:rFonts w:hint="eastAsia" w:ascii="仿宋" w:hAnsi="仿宋" w:eastAsia="仿宋" w:cs="仿宋"/>
          <w:kern w:val="0"/>
          <w:sz w:val="32"/>
          <w:szCs w:val="32"/>
          <w:lang w:val="en-US" w:eastAsia="zh-CN" w:bidi="ar"/>
        </w:rPr>
        <w:t xml:space="preserve">   用于厦门市招生考试中心承担的各项考试考务支出，包括中考、高考、研究生考试等全年三十多场考试。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301" w:firstLineChars="100"/>
        <w:jc w:val="left"/>
        <w:textAlignment w:val="auto"/>
        <w:outlineLvl w:val="1"/>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2.产出指标</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数量指标：全年考试场次≥30场；</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数量指标：考试工作完成率=100%；</w:t>
      </w:r>
    </w:p>
    <w:p>
      <w:pPr>
        <w:pStyle w:val="4"/>
        <w:keepNext w:val="0"/>
        <w:keepLines w:val="0"/>
        <w:widowControl/>
        <w:suppressLineNumbers w:val="0"/>
        <w:spacing w:before="0" w:beforeAutospacing="0" w:after="0" w:afterAutospacing="0"/>
        <w:ind w:left="0" w:right="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default" w:ascii="仿宋" w:hAnsi="仿宋" w:eastAsia="仿宋" w:cs="仿宋"/>
          <w:sz w:val="32"/>
          <w:szCs w:val="32"/>
          <w:lang w:val="en-US" w:eastAsia="zh-CN"/>
        </w:rPr>
        <w:t>教师招聘完成率=100%</w:t>
      </w:r>
      <w:r>
        <w:rPr>
          <w:rFonts w:hint="eastAsia" w:ascii="仿宋" w:hAnsi="仿宋" w:eastAsia="仿宋" w:cs="仿宋"/>
          <w:sz w:val="32"/>
          <w:szCs w:val="32"/>
          <w:lang w:val="en-US" w:eastAsia="zh-CN"/>
        </w:rPr>
        <w:t>；</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时效指标：考试完成及时性</w:t>
      </w:r>
      <w:r>
        <w:rPr>
          <w:rFonts w:hint="default" w:ascii="仿宋" w:hAnsi="仿宋" w:eastAsia="仿宋" w:cs="仿宋"/>
          <w:sz w:val="32"/>
          <w:szCs w:val="32"/>
          <w:lang w:val="en-US" w:eastAsia="zh-CN"/>
        </w:rPr>
        <w:t>=100%</w:t>
      </w:r>
      <w:r>
        <w:rPr>
          <w:rFonts w:hint="eastAsia" w:ascii="仿宋" w:hAnsi="仿宋" w:eastAsia="仿宋" w:cs="仿宋"/>
          <w:sz w:val="32"/>
          <w:szCs w:val="32"/>
          <w:lang w:val="en-US" w:eastAsia="zh-CN"/>
        </w:rPr>
        <w:t>；</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时效指标：招考信息平台维护完成工作及时性=100%。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301" w:firstLineChars="100"/>
        <w:jc w:val="left"/>
        <w:textAlignment w:val="auto"/>
        <w:outlineLvl w:val="1"/>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3.效益指标</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社会效益指标：考务培训上岗率=100%。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仿宋" w:hAnsi="仿宋" w:eastAsia="仿宋" w:cs="仿宋"/>
          <w:sz w:val="32"/>
          <w:szCs w:val="32"/>
          <w:lang w:val="en-US" w:eastAsia="zh-CN"/>
        </w:rPr>
      </w:pPr>
      <w:bookmarkStart w:id="4" w:name="_Toc22036"/>
      <w:r>
        <w:rPr>
          <w:rFonts w:hint="eastAsia" w:ascii="黑体" w:hAnsi="黑体" w:eastAsia="黑体" w:cs="黑体"/>
          <w:b/>
          <w:bCs/>
          <w:sz w:val="30"/>
          <w:szCs w:val="30"/>
          <w:lang w:val="en-US" w:eastAsia="zh-CN"/>
        </w:rPr>
        <w:t>项目实施计划</w:t>
      </w:r>
      <w:bookmarkEnd w:id="4"/>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厦门市教育招生考试中心根据本单位制定的《考试工作岗位设定规则》和《教育考务劳务费支出管理办法》。通过规范各项考试组织工作的岗位设置及人员安排，明确考场经费的下拨管理标准，积极推进和完成2022年招生考试重点工作。各项考务管理贯穿于市招考中心的日常事务性工作中，除中考自主制定考务管理制度外，其余考试根据省考试院制定的考务工作手册执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bookmarkStart w:id="5" w:name="_Toc1631"/>
      <w:r>
        <w:rPr>
          <w:rFonts w:hint="eastAsia" w:ascii="黑体" w:hAnsi="黑体" w:eastAsia="黑体" w:cs="黑体"/>
          <w:b/>
          <w:bCs/>
          <w:sz w:val="30"/>
          <w:szCs w:val="30"/>
          <w:lang w:val="en-US" w:eastAsia="zh-CN"/>
        </w:rPr>
        <w:t>资金投入计划</w:t>
      </w:r>
      <w:bookmarkEnd w:id="5"/>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项目资金根据年度招生考试工作安排投入。</w:t>
      </w:r>
    </w:p>
    <w:p>
      <w:pPr>
        <w:pStyle w:val="4"/>
        <w:keepNext w:val="0"/>
        <w:keepLines w:val="0"/>
        <w:widowControl/>
        <w:suppressLineNumbers w:val="0"/>
        <w:spacing w:before="0" w:beforeAutospacing="0" w:after="0" w:afterAutospacing="0"/>
        <w:ind w:left="0" w:right="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按照以往年度资金投入进度测试，预计2022年第二季度前投入资金50%，第四季度结束前投入资金100%。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工作安排</w:t>
      </w:r>
    </w:p>
    <w:p>
      <w:pPr>
        <w:pStyle w:val="4"/>
        <w:keepNext w:val="0"/>
        <w:keepLines w:val="0"/>
        <w:widowControl/>
        <w:suppressLineNumbers w:val="0"/>
        <w:spacing w:before="0" w:beforeAutospacing="0" w:after="0" w:afterAutospacing="0"/>
        <w:ind w:left="0" w:right="0" w:firstLine="640" w:firstLineChars="200"/>
        <w:jc w:val="both"/>
        <w:rPr>
          <w:rFonts w:hint="eastAsia" w:ascii="仿宋" w:hAnsi="仿宋" w:eastAsia="仿宋" w:cs="仿宋"/>
          <w:sz w:val="32"/>
          <w:szCs w:val="32"/>
          <w:lang w:val="en-US" w:eastAsia="zh-CN"/>
        </w:rPr>
        <w:sectPr>
          <w:pgSz w:w="11906" w:h="16838"/>
          <w:pgMar w:top="1440" w:right="1486" w:bottom="1440" w:left="1180" w:header="851" w:footer="992" w:gutter="0"/>
          <w:cols w:space="425" w:num="1"/>
          <w:docGrid w:type="lines" w:linePitch="312" w:charSpace="0"/>
        </w:sectPr>
      </w:pPr>
      <w:bookmarkStart w:id="6" w:name="_Toc28644"/>
      <w:r>
        <w:rPr>
          <w:rFonts w:hint="eastAsia" w:ascii="仿宋" w:hAnsi="仿宋" w:eastAsia="仿宋" w:cs="仿宋"/>
          <w:sz w:val="32"/>
          <w:szCs w:val="32"/>
        </w:rPr>
        <w:t>招生考试项目用于承担的各项考试考务支出，包括中考、高考、研究生考试等全年三十多场考试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2022年度考试安排如下：</w:t>
      </w:r>
    </w:p>
    <w:tbl>
      <w:tblPr>
        <w:tblStyle w:val="5"/>
        <w:tblW w:w="9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919"/>
        <w:gridCol w:w="5207"/>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Style w:val="8"/>
                <w:lang w:val="en-US" w:eastAsia="zh-CN" w:bidi="ar"/>
              </w:rPr>
              <w:t>厦门市2022</w:t>
            </w:r>
            <w:r>
              <w:rPr>
                <w:rStyle w:val="9"/>
                <w:lang w:val="en-US" w:eastAsia="zh-CN" w:bidi="ar"/>
              </w:rPr>
              <w:t>年教育类统一考试日程计划安排表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考试时间</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考试项目名称</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组织部门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1月8日-9日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2021年下半年全国中小学教师资格证考试(面试)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市教育局人事处、市招考中心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1月8日-10日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福建省普通高中学业水平合格性考试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3月5日—6日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普通高考外语口语考试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3月12日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2022年上半年全国中小学教师资格证考试（笔试）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市教育局人事处、市招考中心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3月19日-20日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普通高校专升本考试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3月26日-28日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全国计算机等级考试（NCRE）</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3月28日-4月3日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福建省普通高中体育与健康学业水平合格性考试实践考试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4月9日-10日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福建省普通高中体育与健康学业水平合格性考试笔试部分机考</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4月10日-11日（暂定)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初中英语口语考试（人机对话）</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4月16日-17日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高等教育自学考试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4月15日-29日（暂定)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中考体育考试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4月23日（暂定)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福建省中小学幼儿园新任教师公开招聘考试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5月7日-8日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普通高中学业水平考试通用技术考查</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普通高中学业水平考试理化生实验考查</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5月14日-15日（暂定)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中考理化生实验及信息技术上机考试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5月21日（暂定)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中考理化生实验考试（补考）</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5月28日-29日（暂定)</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中考体育考试补考</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5月14日-15日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2022年上半年全国中小学教师资格证考试（面试）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市教育局人事处、市招考中心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6月7日-9日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普通高考</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6月11日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全国大学英语四、六级考试（CET）</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相关高校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6月18日-20日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福建省普通高中学业水平合格性考试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6月18日-20日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福建省中职学业水平考试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6月下旬</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中考</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市区招生考试机构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9月24日-26日</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全国计算机等级考试（NCRE）</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10月22日-23日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高等教育自学考试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10月下旬</w:t>
            </w:r>
          </w:p>
        </w:tc>
        <w:tc>
          <w:tcPr>
            <w:tcW w:w="5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成人高等学校招生全国统一考试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10月29日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2022年下半年全国中小学教师资格证考试（笔试）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12月10日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全国大学英语四、六级考试（CET）</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相关高校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12月中下旬</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2023年全国硕士研究生招生考试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市招考中心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2023年1月7日-8日</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2022年下半年全国中小学教师资格证考试(面试)</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市教育局人事处、市招考中心</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项目保障措施</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1"/>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单位制订了专项资金管理制度，并且按照财务制度要求设立专项经费支出明细帐进行独立核算，配合预算绩效管理机制以保障招生考试项目资金的准确使用，招生考试经费的使用控制较为严谨，动用每笔资金均有经过项目单位内部审批程序后予以支付，支出手续合法，无存在截留、挤占、挪用、转移专项资金等问题。具体措施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一是加强组织领导和组织保障。二是明确责任主体。三是加强绩效运行监控，建立内部复核监督制度。四是加强绩效评价。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黑体" w:hAnsi="黑体" w:eastAsia="黑体" w:cs="黑体"/>
          <w:b/>
          <w:bCs/>
          <w:sz w:val="30"/>
          <w:szCs w:val="30"/>
          <w:lang w:val="en-US" w:eastAsia="zh-CN"/>
        </w:rPr>
      </w:pPr>
      <w:bookmarkStart w:id="7" w:name="_Toc26774"/>
      <w:r>
        <w:rPr>
          <w:rFonts w:hint="eastAsia" w:ascii="黑体" w:hAnsi="黑体" w:eastAsia="黑体" w:cs="黑体"/>
          <w:b/>
          <w:bCs/>
          <w:sz w:val="30"/>
          <w:szCs w:val="30"/>
          <w:lang w:val="en-US" w:eastAsia="zh-CN"/>
        </w:rPr>
        <w:t>项目绩效管理</w:t>
      </w:r>
      <w:bookmarkEnd w:id="7"/>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bookmarkStart w:id="8" w:name="_Toc18769"/>
      <w:r>
        <w:rPr>
          <w:rFonts w:hint="eastAsia" w:ascii="黑体" w:hAnsi="黑体" w:eastAsia="黑体" w:cs="黑体"/>
          <w:b/>
          <w:bCs/>
          <w:sz w:val="30"/>
          <w:szCs w:val="30"/>
          <w:lang w:val="en-US" w:eastAsia="zh-CN"/>
        </w:rPr>
        <w:t>事前评估</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kern w:val="0"/>
          <w:sz w:val="32"/>
          <w:szCs w:val="32"/>
          <w:lang w:val="en-US" w:eastAsia="zh-CN" w:bidi="ar"/>
        </w:rPr>
      </w:pPr>
      <w:r>
        <w:rPr>
          <w:rFonts w:hint="eastAsia" w:ascii="宋体" w:hAnsi="宋体" w:eastAsia="宋体" w:cs="宋体"/>
          <w:b/>
          <w:bCs/>
          <w:sz w:val="28"/>
          <w:szCs w:val="28"/>
          <w:lang w:val="en-US" w:eastAsia="zh-CN"/>
        </w:rPr>
        <w:t xml:space="preserve">   </w:t>
      </w:r>
      <w:r>
        <w:rPr>
          <w:rFonts w:hint="eastAsia" w:ascii="仿宋" w:hAnsi="仿宋" w:eastAsia="仿宋" w:cs="仿宋"/>
          <w:kern w:val="0"/>
          <w:sz w:val="32"/>
          <w:szCs w:val="32"/>
          <w:lang w:val="en-US" w:eastAsia="zh-CN" w:bidi="ar"/>
        </w:rPr>
        <w:t xml:space="preserve"> 已于2021年12月完成项目事前评估工作，并提交事前绩效评估报告。</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bookmarkStart w:id="9" w:name="_Toc15774"/>
      <w:r>
        <w:rPr>
          <w:rFonts w:hint="eastAsia" w:ascii="黑体" w:hAnsi="黑体" w:eastAsia="黑体" w:cs="黑体"/>
          <w:b/>
          <w:bCs/>
          <w:sz w:val="30"/>
          <w:szCs w:val="30"/>
          <w:lang w:val="en-US" w:eastAsia="zh-CN"/>
        </w:rPr>
        <w:t>事中监控</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kern w:val="0"/>
          <w:sz w:val="32"/>
          <w:szCs w:val="32"/>
          <w:lang w:val="en-US" w:eastAsia="zh-CN" w:bidi="ar"/>
        </w:rPr>
      </w:pPr>
      <w:r>
        <w:rPr>
          <w:rFonts w:hint="eastAsia" w:ascii="宋体" w:hAnsi="宋体" w:eastAsia="宋体" w:cs="宋体"/>
          <w:b w:val="0"/>
          <w:bCs w:val="0"/>
          <w:sz w:val="28"/>
          <w:szCs w:val="28"/>
          <w:lang w:val="en-US" w:eastAsia="zh-CN"/>
        </w:rPr>
        <w:t xml:space="preserve">   </w:t>
      </w:r>
      <w:r>
        <w:rPr>
          <w:rFonts w:hint="eastAsia" w:ascii="仿宋" w:hAnsi="仿宋" w:eastAsia="仿宋" w:cs="仿宋"/>
          <w:kern w:val="0"/>
          <w:sz w:val="32"/>
          <w:szCs w:val="32"/>
          <w:lang w:val="en-US" w:eastAsia="zh-CN" w:bidi="ar"/>
        </w:rPr>
        <w:t>计划于2022年7月和2022年10月对项目执行情况进行事中监控管理，对资金投入进度和准确性进行监控，对各学校的申报、资助情况进行抽查。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黑体" w:hAnsi="黑体" w:eastAsia="黑体" w:cs="黑体"/>
          <w:b/>
          <w:bCs/>
          <w:sz w:val="30"/>
          <w:szCs w:val="30"/>
          <w:lang w:val="en-US" w:eastAsia="zh-CN"/>
        </w:rPr>
      </w:pPr>
      <w:bookmarkStart w:id="10" w:name="_Toc30830"/>
      <w:r>
        <w:rPr>
          <w:rFonts w:hint="eastAsia" w:ascii="黑体" w:hAnsi="黑体" w:eastAsia="黑体" w:cs="黑体"/>
          <w:b/>
          <w:bCs/>
          <w:sz w:val="30"/>
          <w:szCs w:val="30"/>
          <w:lang w:val="en-US" w:eastAsia="zh-CN"/>
        </w:rPr>
        <w:t>事后自评</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黑体" w:hAnsi="黑体" w:eastAsia="黑体" w:cs="黑体"/>
          <w:b/>
          <w:bCs/>
          <w:sz w:val="48"/>
          <w:szCs w:val="48"/>
          <w:lang w:val="en-US" w:eastAsia="zh-CN"/>
        </w:rPr>
      </w:pPr>
      <w:r>
        <w:rPr>
          <w:rFonts w:hint="eastAsia" w:ascii="宋体" w:hAnsi="宋体" w:eastAsia="宋体" w:cs="宋体"/>
          <w:b w:val="0"/>
          <w:bCs w:val="0"/>
          <w:sz w:val="28"/>
          <w:szCs w:val="28"/>
          <w:lang w:val="en-US" w:eastAsia="zh-CN"/>
        </w:rPr>
        <w:t xml:space="preserve">    </w:t>
      </w:r>
      <w:r>
        <w:rPr>
          <w:rFonts w:hint="eastAsia" w:ascii="仿宋" w:hAnsi="仿宋" w:eastAsia="仿宋" w:cs="仿宋"/>
          <w:kern w:val="0"/>
          <w:sz w:val="32"/>
          <w:szCs w:val="32"/>
          <w:lang w:val="en-US" w:eastAsia="zh-CN" w:bidi="ar"/>
        </w:rPr>
        <w:t>计划于2023年1月对项目执行情况进行事后自评，形成总结报告并进行项目档案的归档整理。</w:t>
      </w:r>
    </w:p>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5A90"/>
    <w:multiLevelType w:val="singleLevel"/>
    <w:tmpl w:val="C05F5A90"/>
    <w:lvl w:ilvl="0" w:tentative="0">
      <w:start w:val="1"/>
      <w:numFmt w:val="chineseCounting"/>
      <w:suff w:val="nothing"/>
      <w:lvlText w:val="（%1）"/>
      <w:lvlJc w:val="left"/>
      <w:pPr>
        <w:ind w:left="0" w:firstLine="420"/>
      </w:pPr>
      <w:rPr>
        <w:rFonts w:hint="eastAsia"/>
      </w:rPr>
    </w:lvl>
  </w:abstractNum>
  <w:abstractNum w:abstractNumId="1">
    <w:nsid w:val="E2591BE6"/>
    <w:multiLevelType w:val="singleLevel"/>
    <w:tmpl w:val="E2591BE6"/>
    <w:lvl w:ilvl="0" w:tentative="0">
      <w:start w:val="1"/>
      <w:numFmt w:val="chineseCounting"/>
      <w:suff w:val="nothing"/>
      <w:lvlText w:val="（%1）"/>
      <w:lvlJc w:val="left"/>
      <w:pPr>
        <w:ind w:left="0" w:firstLine="420"/>
      </w:pPr>
      <w:rPr>
        <w:rFonts w:hint="eastAsia"/>
      </w:rPr>
    </w:lvl>
  </w:abstractNum>
  <w:abstractNum w:abstractNumId="2">
    <w:nsid w:val="093E870A"/>
    <w:multiLevelType w:val="singleLevel"/>
    <w:tmpl w:val="093E870A"/>
    <w:lvl w:ilvl="0" w:tentative="0">
      <w:start w:val="1"/>
      <w:numFmt w:val="chineseCounting"/>
      <w:suff w:val="nothing"/>
      <w:lvlText w:val="%1、"/>
      <w:lvlJc w:val="left"/>
      <w:pPr>
        <w:ind w:left="0" w:firstLine="420"/>
      </w:pPr>
      <w:rPr>
        <w:rFonts w:hint="eastAsia"/>
      </w:rPr>
    </w:lvl>
  </w:abstractNum>
  <w:abstractNum w:abstractNumId="3">
    <w:nsid w:val="7FBA235C"/>
    <w:multiLevelType w:val="singleLevel"/>
    <w:tmpl w:val="7FBA235C"/>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E0EB1"/>
    <w:rsid w:val="164E0EB1"/>
    <w:rsid w:val="6A6A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toc 2"/>
    <w:basedOn w:val="1"/>
    <w:next w:val="1"/>
    <w:qFormat/>
    <w:uiPriority w:val="0"/>
    <w:pPr>
      <w:ind w:left="420" w:leftChars="200"/>
    </w:p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paragraph" w:customStyle="1" w:styleId="7">
    <w:name w:val="1.正文"/>
    <w:basedOn w:val="1"/>
    <w:qFormat/>
    <w:uiPriority w:val="99"/>
    <w:rPr>
      <w:rFonts w:ascii="Calibri"/>
      <w:szCs w:val="22"/>
    </w:rPr>
  </w:style>
  <w:style w:type="character" w:customStyle="1" w:styleId="8">
    <w:name w:val="font61"/>
    <w:basedOn w:val="6"/>
    <w:qFormat/>
    <w:uiPriority w:val="0"/>
    <w:rPr>
      <w:rFonts w:hint="eastAsia" w:ascii="宋体" w:hAnsi="宋体" w:eastAsia="宋体" w:cs="宋体"/>
      <w:b/>
      <w:bCs/>
      <w:color w:val="000000"/>
      <w:sz w:val="40"/>
      <w:szCs w:val="40"/>
      <w:u w:val="none"/>
    </w:rPr>
  </w:style>
  <w:style w:type="character" w:customStyle="1" w:styleId="9">
    <w:name w:val="font21"/>
    <w:basedOn w:val="6"/>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2022-02-15T09:41:00Z</dcterms:created>
  <dc:creator>林耀</dc:creator>
  <cp:lastModifiedBy>林耀</cp:lastModifiedBy>
  <dcterms:modified xsi:type="dcterms:W3CDTF">2022-02-23T09:30:47Z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4BBC6F758A3640A3BB2BBF7968511ACB</vt:lpwstr>
  </property>
</Properties>
</file>