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00" w:beforeAutospacing="1" w:after="100" w:afterAutospacing="1"/>
        <w:ind w:right="330" w:rightChars="157"/>
        <w:textAlignment w:val="bottom"/>
        <w:rPr>
          <w:rFonts w:ascii="方正小标宋简体" w:hAnsi="仿宋" w:eastAsia="方正小标宋简体"/>
          <w:sz w:val="32"/>
          <w:szCs w:val="32"/>
          <w:highlight w:val="none"/>
        </w:rPr>
      </w:pPr>
      <w:r>
        <w:rPr>
          <w:rFonts w:hint="eastAsia" w:ascii="黑体" w:hAnsi="宋体" w:eastAsia="黑体"/>
          <w:sz w:val="32"/>
          <w:szCs w:val="32"/>
          <w:highlight w:val="none"/>
        </w:rPr>
        <w:t>附件1</w:t>
      </w:r>
      <w:r>
        <w:rPr>
          <w:rFonts w:ascii="黑体" w:hAnsi="宋体" w:eastAsia="黑体"/>
          <w:sz w:val="32"/>
          <w:szCs w:val="32"/>
          <w:highlight w:val="none"/>
        </w:rPr>
        <w:t>6</w:t>
      </w:r>
    </w:p>
    <w:p>
      <w:pPr>
        <w:spacing w:line="560" w:lineRule="exact"/>
        <w:jc w:val="center"/>
        <w:rPr>
          <w:rFonts w:hint="eastAsia" w:ascii="方正小标宋简体" w:hAnsi="仿宋" w:eastAsia="方正小标宋简体"/>
          <w:sz w:val="44"/>
          <w:szCs w:val="44"/>
          <w:highlight w:val="none"/>
        </w:rPr>
      </w:pPr>
      <w:r>
        <w:rPr>
          <w:rFonts w:hint="eastAsia" w:ascii="方正小标宋简体" w:hAnsi="仿宋" w:eastAsia="方正小标宋简体" w:cs="仿宋_GB2312"/>
          <w:sz w:val="44"/>
          <w:szCs w:val="44"/>
          <w:highlight w:val="none"/>
        </w:rPr>
        <w:t>2023年</w:t>
      </w:r>
      <w:r>
        <w:rPr>
          <w:rFonts w:hint="eastAsia" w:ascii="方正小标宋简体" w:hAnsi="仿宋" w:eastAsia="方正小标宋简体" w:cs="仿宋_GB2312"/>
          <w:sz w:val="44"/>
          <w:szCs w:val="44"/>
          <w:highlight w:val="none"/>
          <w:lang w:eastAsia="zh-CN"/>
        </w:rPr>
        <w:t>厦门外国语学校</w:t>
      </w:r>
      <w:r>
        <w:rPr>
          <w:rFonts w:hint="eastAsia" w:ascii="方正小标宋简体" w:hAnsi="仿宋" w:eastAsia="方正小标宋简体"/>
          <w:sz w:val="44"/>
          <w:szCs w:val="44"/>
          <w:highlight w:val="none"/>
        </w:rPr>
        <w:t>预算说明</w:t>
      </w:r>
    </w:p>
    <w:p>
      <w:pPr>
        <w:spacing w:line="560" w:lineRule="exact"/>
        <w:jc w:val="center"/>
        <w:rPr>
          <w:rFonts w:hint="eastAsia" w:ascii="黑体" w:hAnsi="黑体" w:eastAsia="黑体"/>
          <w:sz w:val="32"/>
          <w:szCs w:val="32"/>
          <w:highlight w:val="none"/>
        </w:rPr>
      </w:pPr>
    </w:p>
    <w:p>
      <w:pPr>
        <w:spacing w:line="560" w:lineRule="exact"/>
        <w:jc w:val="center"/>
        <w:rPr>
          <w:rFonts w:hint="eastAsia" w:ascii="黑体" w:hAnsi="黑体" w:eastAsia="黑体"/>
          <w:sz w:val="32"/>
          <w:szCs w:val="32"/>
          <w:highlight w:val="none"/>
        </w:rPr>
      </w:pPr>
      <w:r>
        <w:rPr>
          <w:rFonts w:hint="eastAsia" w:ascii="黑体" w:hAnsi="黑体" w:eastAsia="黑体"/>
          <w:sz w:val="32"/>
          <w:szCs w:val="32"/>
          <w:highlight w:val="none"/>
        </w:rPr>
        <w:t>目   录</w:t>
      </w:r>
    </w:p>
    <w:p>
      <w:pPr>
        <w:tabs>
          <w:tab w:val="left" w:pos="7513"/>
        </w:tabs>
        <w:adjustRightInd w:val="0"/>
        <w:snapToGrid w:val="0"/>
        <w:spacing w:line="560" w:lineRule="exact"/>
        <w:ind w:firstLine="640" w:firstLineChars="200"/>
        <w:rPr>
          <w:rFonts w:hint="eastAsia" w:ascii="黑体" w:hAnsi="黑体" w:eastAsia="黑体"/>
          <w:sz w:val="32"/>
          <w:szCs w:val="32"/>
          <w:highlight w:val="none"/>
        </w:rPr>
      </w:pPr>
      <w:r>
        <w:rPr>
          <w:rFonts w:hint="eastAsia" w:ascii="黑体" w:eastAsia="黑体"/>
          <w:sz w:val="32"/>
          <w:szCs w:val="32"/>
          <w:highlight w:val="none"/>
        </w:rPr>
        <w:t xml:space="preserve">第一部分  </w:t>
      </w:r>
      <w:r>
        <w:rPr>
          <w:rFonts w:hint="eastAsia" w:ascii="黑体" w:hAnsi="黑体" w:eastAsia="黑体"/>
          <w:sz w:val="32"/>
          <w:szCs w:val="32"/>
          <w:highlight w:val="none"/>
        </w:rPr>
        <w:t>单位概况</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一、单位主要职责</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二、单位基本情况</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三、单位主要工作任务</w:t>
      </w:r>
    </w:p>
    <w:p>
      <w:pPr>
        <w:tabs>
          <w:tab w:val="left" w:pos="7513"/>
        </w:tabs>
        <w:adjustRightInd w:val="0"/>
        <w:snapToGrid w:val="0"/>
        <w:spacing w:line="56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第二部分  2023年单位预算说明</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一、2023年单位预算收支总体情况</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二、一般公共预算财政拨款支出预算情况</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三、政府性基金预算财政拨款支出情况</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四、“三公”经费财政拨款预算情况</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五、其他重要事项的情况说明</w:t>
      </w:r>
    </w:p>
    <w:p>
      <w:pPr>
        <w:tabs>
          <w:tab w:val="left" w:pos="7513"/>
        </w:tabs>
        <w:adjustRightInd w:val="0"/>
        <w:snapToGrid w:val="0"/>
        <w:spacing w:line="56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第三部分  名词解释</w:t>
      </w:r>
    </w:p>
    <w:p>
      <w:pPr>
        <w:tabs>
          <w:tab w:val="left" w:pos="7513"/>
        </w:tabs>
        <w:adjustRightInd w:val="0"/>
        <w:snapToGrid w:val="0"/>
        <w:spacing w:line="56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第四部分  2023年单位预算附表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一、部门收支预算总体情况表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二、部门收入预算总体情况表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三、部门支出预算总体情况表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四、财政拨款收支预算总体情况表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五、</w:t>
      </w:r>
      <w:r>
        <w:rPr>
          <w:rFonts w:hint="eastAsia"/>
          <w:highlight w:val="none"/>
        </w:rPr>
        <w:t xml:space="preserve"> </w:t>
      </w:r>
      <w:r>
        <w:rPr>
          <w:rFonts w:hint="eastAsia" w:ascii="仿宋_GB2312" w:hAnsi="仿宋" w:eastAsia="仿宋_GB2312" w:cs="仿宋_GB2312"/>
          <w:sz w:val="32"/>
          <w:szCs w:val="32"/>
          <w:highlight w:val="none"/>
        </w:rPr>
        <w:t>一般公共预算支出情况表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六、一般公共预算基本支出情况表（经济分类款级科目）</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七、一般公共预算“三公”经费支出情况表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八、政府性基金预算支出情况表</w:t>
      </w:r>
    </w:p>
    <w:p>
      <w:pPr>
        <w:shd w:val="clear" w:color="auto" w:fill="FFFFFF"/>
        <w:tabs>
          <w:tab w:val="left" w:pos="7513"/>
        </w:tabs>
        <w:adjustRightInd w:val="0"/>
        <w:snapToGrid w:val="0"/>
        <w:spacing w:line="560" w:lineRule="exact"/>
        <w:ind w:firstLine="640" w:firstLineChars="200"/>
        <w:rPr>
          <w:rFonts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九、市对区转移支付支出预算表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十、二级项目绩效目标表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ascii="黑体" w:eastAsia="黑体"/>
          <w:sz w:val="32"/>
          <w:szCs w:val="32"/>
          <w:highlight w:val="none"/>
        </w:rPr>
      </w:pPr>
    </w:p>
    <w:p>
      <w:pPr>
        <w:tabs>
          <w:tab w:val="left" w:pos="7513"/>
        </w:tabs>
        <w:adjustRightInd w:val="0"/>
        <w:snapToGrid w:val="0"/>
        <w:spacing w:line="560" w:lineRule="exact"/>
        <w:jc w:val="center"/>
        <w:rPr>
          <w:rFonts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eastAsia="黑体"/>
          <w:sz w:val="32"/>
          <w:szCs w:val="32"/>
          <w:highlight w:val="none"/>
        </w:rPr>
      </w:pPr>
    </w:p>
    <w:p>
      <w:pPr>
        <w:tabs>
          <w:tab w:val="left" w:pos="7513"/>
        </w:tabs>
        <w:adjustRightInd w:val="0"/>
        <w:snapToGrid w:val="0"/>
        <w:spacing w:line="560" w:lineRule="exact"/>
        <w:jc w:val="center"/>
        <w:rPr>
          <w:rFonts w:hint="eastAsia" w:ascii="黑体" w:hAnsi="黑体" w:eastAsia="黑体"/>
          <w:sz w:val="32"/>
          <w:szCs w:val="32"/>
          <w:highlight w:val="none"/>
        </w:rPr>
      </w:pPr>
      <w:r>
        <w:rPr>
          <w:rFonts w:hint="eastAsia" w:ascii="黑体" w:eastAsia="黑体"/>
          <w:sz w:val="32"/>
          <w:szCs w:val="32"/>
          <w:highlight w:val="none"/>
        </w:rPr>
        <w:t>第一部分  单位</w:t>
      </w:r>
      <w:r>
        <w:rPr>
          <w:rFonts w:hint="eastAsia" w:ascii="黑体" w:hAnsi="黑体" w:eastAsia="黑体"/>
          <w:sz w:val="32"/>
          <w:szCs w:val="32"/>
          <w:highlight w:val="none"/>
        </w:rPr>
        <w:t>概况</w:t>
      </w:r>
    </w:p>
    <w:p>
      <w:pPr>
        <w:tabs>
          <w:tab w:val="left" w:pos="7513"/>
        </w:tabs>
        <w:adjustRightInd w:val="0"/>
        <w:snapToGrid w:val="0"/>
        <w:spacing w:line="560" w:lineRule="exact"/>
        <w:ind w:firstLine="640" w:firstLineChars="200"/>
        <w:rPr>
          <w:rFonts w:hint="eastAsia" w:ascii="黑体" w:hAnsi="黑体" w:eastAsia="黑体"/>
          <w:sz w:val="32"/>
          <w:szCs w:val="32"/>
          <w:highlight w:val="none"/>
        </w:rPr>
      </w:pPr>
      <w:r>
        <w:rPr>
          <w:rFonts w:hint="eastAsia" w:ascii="黑体" w:eastAsia="黑体"/>
          <w:sz w:val="32"/>
          <w:szCs w:val="32"/>
          <w:highlight w:val="none"/>
        </w:rPr>
        <w:t>一、</w:t>
      </w:r>
      <w:r>
        <w:rPr>
          <w:rFonts w:hint="eastAsia" w:ascii="黑体" w:hAnsi="黑体" w:eastAsia="黑体"/>
          <w:sz w:val="32"/>
          <w:szCs w:val="32"/>
          <w:highlight w:val="none"/>
        </w:rPr>
        <w:t>单位主要职责</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rPr>
        <w:t>厦门外国语学校（以下简称“厦外”）创办于</w:t>
      </w:r>
      <w:r>
        <w:rPr>
          <w:rFonts w:ascii="仿宋_GB2312" w:hAnsi="仿宋" w:eastAsia="仿宋_GB2312" w:cs="仿宋_GB2312"/>
          <w:sz w:val="32"/>
          <w:szCs w:val="32"/>
          <w:highlight w:val="none"/>
        </w:rPr>
        <w:t>1981</w:t>
      </w:r>
      <w:r>
        <w:rPr>
          <w:rFonts w:hint="eastAsia" w:ascii="仿宋_GB2312" w:hAnsi="仿宋" w:eastAsia="仿宋_GB2312" w:cs="仿宋_GB2312"/>
          <w:sz w:val="32"/>
          <w:szCs w:val="32"/>
          <w:highlight w:val="none"/>
        </w:rPr>
        <w:t>年，原名“厦门市英语中学”，是全国文明校园、福建省一级达标中学学校秉承“进德修业”的校训，确立“以学生为本，面向全体学生，促进学生全面发展”的办学理念，坚持“突出外语，文理并重，全面发展”的办学指导思想，致力于培养“中国灵魂，世界胸怀”的高素质国际性复合型预备人才</w:t>
      </w:r>
      <w:r>
        <w:rPr>
          <w:rFonts w:hint="eastAsia" w:ascii="仿宋_GB2312" w:hAnsi="仿宋" w:eastAsia="仿宋_GB2312" w:cs="仿宋_GB2312"/>
          <w:sz w:val="32"/>
          <w:szCs w:val="32"/>
          <w:highlight w:val="none"/>
          <w:lang w:eastAsia="zh-CN"/>
        </w:rPr>
        <w:t>。</w:t>
      </w:r>
    </w:p>
    <w:p>
      <w:pPr>
        <w:tabs>
          <w:tab w:val="left" w:pos="7513"/>
        </w:tabs>
        <w:adjustRightInd w:val="0"/>
        <w:snapToGrid w:val="0"/>
        <w:spacing w:line="56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二、单位基本情况</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cs="仿宋_GB2312"/>
          <w:sz w:val="32"/>
          <w:szCs w:val="32"/>
          <w:highlight w:val="none"/>
        </w:rPr>
        <w:t>学校目前设</w:t>
      </w:r>
      <w:r>
        <w:rPr>
          <w:rFonts w:ascii="仿宋_GB2312" w:hAnsi="仿宋" w:eastAsia="仿宋_GB2312" w:cs="仿宋_GB2312"/>
          <w:sz w:val="32"/>
          <w:szCs w:val="32"/>
          <w:highlight w:val="none"/>
        </w:rPr>
        <w:t>滨北（初中）、海沧（高中）</w:t>
      </w:r>
      <w:r>
        <w:rPr>
          <w:rFonts w:hint="eastAsia" w:ascii="仿宋_GB2312" w:hAnsi="仿宋" w:eastAsia="仿宋_GB2312" w:cs="仿宋_GB2312"/>
          <w:sz w:val="32"/>
          <w:szCs w:val="32"/>
          <w:highlight w:val="none"/>
        </w:rPr>
        <w:t>、集美（初中高中）三</w:t>
      </w:r>
      <w:r>
        <w:rPr>
          <w:rFonts w:ascii="仿宋_GB2312" w:hAnsi="仿宋" w:eastAsia="仿宋_GB2312" w:cs="仿宋_GB2312"/>
          <w:sz w:val="32"/>
          <w:szCs w:val="32"/>
          <w:highlight w:val="none"/>
        </w:rPr>
        <w:t>个校区</w:t>
      </w:r>
      <w:r>
        <w:rPr>
          <w:rFonts w:hint="eastAsia" w:ascii="仿宋_GB2312" w:hAnsi="仿宋" w:eastAsia="仿宋_GB2312" w:cs="仿宋_GB2312"/>
          <w:sz w:val="32"/>
          <w:szCs w:val="32"/>
          <w:highlight w:val="none"/>
        </w:rPr>
        <w:t>，共占地20万7千平方米，建筑面积14万3千平方米，</w:t>
      </w:r>
      <w:r>
        <w:rPr>
          <w:rFonts w:hint="eastAsia" w:ascii="仿宋_GB2312" w:hAnsi="仿宋" w:eastAsia="仿宋_GB2312" w:cs="仿宋_GB2312"/>
          <w:sz w:val="32"/>
          <w:szCs w:val="32"/>
          <w:highlight w:val="none"/>
          <w:lang w:val="en-US" w:eastAsia="zh-CN"/>
        </w:rPr>
        <w:t>130</w:t>
      </w:r>
      <w:r>
        <w:rPr>
          <w:rFonts w:ascii="仿宋_GB2312" w:hAnsi="仿宋" w:eastAsia="仿宋_GB2312" w:cs="仿宋_GB2312"/>
          <w:sz w:val="32"/>
          <w:szCs w:val="32"/>
          <w:highlight w:val="none"/>
        </w:rPr>
        <w:t>个教学班</w:t>
      </w:r>
      <w:r>
        <w:rPr>
          <w:rFonts w:hint="eastAsia" w:ascii="仿宋_GB2312" w:hAnsi="仿宋" w:eastAsia="仿宋_GB2312" w:cs="仿宋_GB2312"/>
          <w:sz w:val="32"/>
          <w:szCs w:val="32"/>
          <w:highlight w:val="none"/>
        </w:rPr>
        <w:t>（含新疆班）</w:t>
      </w:r>
      <w:r>
        <w:rPr>
          <w:rFonts w:ascii="仿宋_GB2312" w:hAnsi="仿宋" w:eastAsia="仿宋_GB2312" w:cs="仿宋_GB2312"/>
          <w:sz w:val="32"/>
          <w:szCs w:val="32"/>
          <w:highlight w:val="none"/>
        </w:rPr>
        <w:t>，在校生</w:t>
      </w:r>
      <w:r>
        <w:rPr>
          <w:rFonts w:hint="eastAsia" w:ascii="仿宋_GB2312" w:hAnsi="仿宋" w:eastAsia="仿宋_GB2312" w:cs="仿宋_GB2312"/>
          <w:sz w:val="32"/>
          <w:szCs w:val="32"/>
          <w:highlight w:val="none"/>
          <w:lang w:val="en-US" w:eastAsia="zh-CN"/>
        </w:rPr>
        <w:t>6300</w:t>
      </w:r>
      <w:r>
        <w:rPr>
          <w:rFonts w:hint="eastAsia" w:ascii="仿宋_GB2312" w:hAnsi="仿宋" w:eastAsia="仿宋_GB2312" w:cs="仿宋_GB2312"/>
          <w:sz w:val="32"/>
          <w:szCs w:val="32"/>
          <w:highlight w:val="none"/>
        </w:rPr>
        <w:t>多人，新增集美校区部分还在建设中。</w:t>
      </w:r>
      <w:r>
        <w:rPr>
          <w:rFonts w:hint="eastAsia" w:ascii="仿宋_GB2312" w:hAnsi="仿宋" w:eastAsia="仿宋_GB2312"/>
          <w:sz w:val="32"/>
          <w:szCs w:val="32"/>
          <w:highlight w:val="none"/>
        </w:rPr>
        <w:t>列入</w:t>
      </w:r>
      <w:r>
        <w:rPr>
          <w:rFonts w:hint="eastAsia" w:ascii="仿宋_GB2312" w:hAnsi="仿宋" w:eastAsia="仿宋_GB2312" w:cs="仿宋_GB2312"/>
          <w:sz w:val="32"/>
          <w:szCs w:val="32"/>
          <w:highlight w:val="none"/>
        </w:rPr>
        <w:t>202</w:t>
      </w:r>
      <w:r>
        <w:rPr>
          <w:rFonts w:hint="eastAsia" w:ascii="仿宋_GB2312" w:hAnsi="仿宋" w:eastAsia="仿宋_GB2312" w:cs="仿宋_GB2312"/>
          <w:sz w:val="32"/>
          <w:szCs w:val="32"/>
          <w:highlight w:val="none"/>
          <w:lang w:val="en-US" w:eastAsia="zh-CN"/>
        </w:rPr>
        <w:t>3</w:t>
      </w:r>
      <w:r>
        <w:rPr>
          <w:rFonts w:hint="eastAsia" w:ascii="仿宋_GB2312" w:hAnsi="仿宋" w:eastAsia="仿宋_GB2312" w:cs="仿宋_GB2312"/>
          <w:sz w:val="32"/>
          <w:szCs w:val="32"/>
          <w:highlight w:val="none"/>
        </w:rPr>
        <w:t>年</w:t>
      </w:r>
      <w:r>
        <w:rPr>
          <w:rFonts w:hint="eastAsia" w:ascii="仿宋_GB2312" w:hAnsi="仿宋" w:eastAsia="仿宋_GB2312"/>
          <w:sz w:val="32"/>
          <w:szCs w:val="32"/>
          <w:highlight w:val="none"/>
        </w:rPr>
        <w:t>部门预算编制范围的单位详细情况见下表: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2835"/>
        <w:gridCol w:w="1665"/>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4" w:type="dxa"/>
            <w:shd w:val="clear" w:color="auto" w:fill="auto"/>
            <w:noWrap w:val="0"/>
            <w:vAlign w:val="top"/>
          </w:tcPr>
          <w:p>
            <w:pPr>
              <w:tabs>
                <w:tab w:val="left" w:pos="7513"/>
              </w:tabs>
              <w:adjustRightInd w:val="0"/>
              <w:snapToGrid w:val="0"/>
              <w:spacing w:line="560" w:lineRule="exact"/>
              <w:jc w:val="center"/>
              <w:rPr>
                <w:rFonts w:hint="eastAsia" w:ascii="仿宋_GB2312" w:hAnsi="宋体" w:eastAsia="仿宋_GB2312"/>
                <w:sz w:val="28"/>
                <w:szCs w:val="28"/>
                <w:highlight w:val="none"/>
              </w:rPr>
            </w:pPr>
            <w:r>
              <w:rPr>
                <w:rFonts w:hint="eastAsia" w:ascii="仿宋_GB2312" w:hAnsi="宋体" w:eastAsia="仿宋_GB2312"/>
                <w:sz w:val="28"/>
                <w:szCs w:val="28"/>
                <w:highlight w:val="none"/>
              </w:rPr>
              <w:t>单位名称</w:t>
            </w:r>
          </w:p>
        </w:tc>
        <w:tc>
          <w:tcPr>
            <w:tcW w:w="2835" w:type="dxa"/>
            <w:shd w:val="clear" w:color="auto" w:fill="auto"/>
            <w:noWrap w:val="0"/>
            <w:vAlign w:val="top"/>
          </w:tcPr>
          <w:p>
            <w:pPr>
              <w:tabs>
                <w:tab w:val="left" w:pos="7513"/>
              </w:tabs>
              <w:adjustRightInd w:val="0"/>
              <w:snapToGrid w:val="0"/>
              <w:spacing w:line="560" w:lineRule="exact"/>
              <w:jc w:val="center"/>
              <w:rPr>
                <w:rFonts w:hint="eastAsia" w:ascii="仿宋_GB2312" w:hAnsi="宋体" w:eastAsia="仿宋_GB2312"/>
                <w:sz w:val="28"/>
                <w:szCs w:val="28"/>
                <w:highlight w:val="none"/>
              </w:rPr>
            </w:pPr>
            <w:r>
              <w:rPr>
                <w:rFonts w:hint="eastAsia" w:ascii="仿宋_GB2312" w:hAnsi="宋体" w:eastAsia="仿宋_GB2312"/>
                <w:sz w:val="28"/>
                <w:szCs w:val="28"/>
                <w:highlight w:val="none"/>
              </w:rPr>
              <w:t>经费性质</w:t>
            </w:r>
          </w:p>
        </w:tc>
        <w:tc>
          <w:tcPr>
            <w:tcW w:w="1665" w:type="dxa"/>
            <w:shd w:val="clear" w:color="auto" w:fill="auto"/>
            <w:noWrap w:val="0"/>
            <w:vAlign w:val="top"/>
          </w:tcPr>
          <w:p>
            <w:pPr>
              <w:tabs>
                <w:tab w:val="left" w:pos="7513"/>
              </w:tabs>
              <w:adjustRightInd w:val="0"/>
              <w:snapToGrid w:val="0"/>
              <w:spacing w:line="560" w:lineRule="exact"/>
              <w:jc w:val="center"/>
              <w:rPr>
                <w:rFonts w:hint="eastAsia" w:ascii="仿宋_GB2312" w:hAnsi="宋体" w:eastAsia="仿宋_GB2312"/>
                <w:sz w:val="28"/>
                <w:szCs w:val="28"/>
                <w:highlight w:val="none"/>
              </w:rPr>
            </w:pPr>
            <w:r>
              <w:rPr>
                <w:rFonts w:hint="eastAsia" w:ascii="仿宋_GB2312" w:hAnsi="宋体" w:eastAsia="仿宋_GB2312"/>
                <w:sz w:val="28"/>
                <w:szCs w:val="28"/>
                <w:highlight w:val="none"/>
              </w:rPr>
              <w:t>人员编制数</w:t>
            </w:r>
          </w:p>
        </w:tc>
        <w:tc>
          <w:tcPr>
            <w:tcW w:w="1388" w:type="dxa"/>
            <w:shd w:val="clear" w:color="auto" w:fill="auto"/>
            <w:noWrap w:val="0"/>
            <w:vAlign w:val="top"/>
          </w:tcPr>
          <w:p>
            <w:pPr>
              <w:tabs>
                <w:tab w:val="left" w:pos="7513"/>
              </w:tabs>
              <w:adjustRightInd w:val="0"/>
              <w:snapToGrid w:val="0"/>
              <w:spacing w:line="560" w:lineRule="exact"/>
              <w:jc w:val="center"/>
              <w:rPr>
                <w:rFonts w:hint="eastAsia" w:ascii="仿宋_GB2312" w:hAnsi="宋体" w:eastAsia="仿宋_GB2312"/>
                <w:sz w:val="28"/>
                <w:szCs w:val="28"/>
                <w:highlight w:val="none"/>
              </w:rPr>
            </w:pPr>
            <w:r>
              <w:rPr>
                <w:rFonts w:hint="eastAsia" w:ascii="仿宋_GB2312" w:hAnsi="宋体" w:eastAsia="仿宋_GB2312"/>
                <w:sz w:val="28"/>
                <w:szCs w:val="28"/>
                <w:highlight w:val="none"/>
              </w:rPr>
              <w:t>在职人数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4" w:type="dxa"/>
            <w:shd w:val="clear" w:color="auto" w:fill="auto"/>
            <w:noWrap w:val="0"/>
            <w:vAlign w:val="top"/>
          </w:tcPr>
          <w:p>
            <w:pPr>
              <w:tabs>
                <w:tab w:val="left" w:pos="7513"/>
              </w:tabs>
              <w:adjustRightInd w:val="0"/>
              <w:snapToGrid w:val="0"/>
              <w:spacing w:line="560" w:lineRule="exact"/>
              <w:rPr>
                <w:rFonts w:hint="eastAsia" w:ascii="宋体" w:hAnsi="宋体"/>
                <w:sz w:val="28"/>
                <w:szCs w:val="28"/>
                <w:highlight w:val="none"/>
              </w:rPr>
            </w:pPr>
            <w:r>
              <w:rPr>
                <w:rFonts w:hint="eastAsia" w:ascii="仿宋" w:hAnsi="仿宋" w:eastAsia="仿宋" w:cs="Times New Roman"/>
                <w:sz w:val="32"/>
                <w:szCs w:val="32"/>
                <w:highlight w:val="none"/>
              </w:rPr>
              <w:t>厦门外国语学校</w:t>
            </w:r>
          </w:p>
        </w:tc>
        <w:tc>
          <w:tcPr>
            <w:tcW w:w="2835" w:type="dxa"/>
            <w:shd w:val="clear" w:color="auto" w:fill="auto"/>
            <w:noWrap w:val="0"/>
            <w:vAlign w:val="top"/>
          </w:tcPr>
          <w:p>
            <w:pPr>
              <w:tabs>
                <w:tab w:val="left" w:pos="7513"/>
              </w:tabs>
              <w:adjustRightInd w:val="0"/>
              <w:snapToGrid w:val="0"/>
              <w:spacing w:line="560" w:lineRule="exact"/>
              <w:rPr>
                <w:rFonts w:hint="eastAsia" w:ascii="宋体" w:hAnsi="宋体"/>
                <w:sz w:val="28"/>
                <w:szCs w:val="28"/>
                <w:highlight w:val="none"/>
              </w:rPr>
            </w:pPr>
            <w:r>
              <w:rPr>
                <w:rFonts w:hint="eastAsia" w:ascii="仿宋" w:hAnsi="仿宋" w:eastAsia="仿宋"/>
                <w:sz w:val="32"/>
                <w:szCs w:val="32"/>
                <w:highlight w:val="none"/>
              </w:rPr>
              <w:t>全额拨款事业单位</w:t>
            </w:r>
          </w:p>
        </w:tc>
        <w:tc>
          <w:tcPr>
            <w:tcW w:w="1665" w:type="dxa"/>
            <w:shd w:val="clear" w:color="auto" w:fill="auto"/>
            <w:noWrap w:val="0"/>
            <w:vAlign w:val="top"/>
          </w:tcPr>
          <w:p>
            <w:pPr>
              <w:tabs>
                <w:tab w:val="left" w:pos="7513"/>
              </w:tabs>
              <w:adjustRightInd w:val="0"/>
              <w:snapToGrid w:val="0"/>
              <w:spacing w:line="560" w:lineRule="exact"/>
              <w:rPr>
                <w:rFonts w:hint="default" w:ascii="宋体" w:hAnsi="宋体" w:eastAsia="宋体"/>
                <w:sz w:val="28"/>
                <w:szCs w:val="28"/>
                <w:highlight w:val="none"/>
                <w:lang w:val="en-US" w:eastAsia="zh-CN"/>
              </w:rPr>
            </w:pPr>
            <w:r>
              <w:rPr>
                <w:rFonts w:hint="eastAsia" w:ascii="宋体" w:hAnsi="宋体"/>
                <w:sz w:val="28"/>
                <w:szCs w:val="28"/>
                <w:highlight w:val="none"/>
                <w:lang w:val="en-US" w:eastAsia="zh-CN"/>
              </w:rPr>
              <w:t>553</w:t>
            </w:r>
          </w:p>
        </w:tc>
        <w:tc>
          <w:tcPr>
            <w:tcW w:w="1388" w:type="dxa"/>
            <w:shd w:val="clear" w:color="auto" w:fill="auto"/>
            <w:noWrap w:val="0"/>
            <w:vAlign w:val="top"/>
          </w:tcPr>
          <w:p>
            <w:pPr>
              <w:tabs>
                <w:tab w:val="left" w:pos="7513"/>
              </w:tabs>
              <w:adjustRightInd w:val="0"/>
              <w:snapToGrid w:val="0"/>
              <w:spacing w:line="560" w:lineRule="exact"/>
              <w:rPr>
                <w:rFonts w:hint="default" w:ascii="宋体" w:hAnsi="宋体" w:eastAsia="宋体"/>
                <w:sz w:val="28"/>
                <w:szCs w:val="28"/>
                <w:highlight w:val="none"/>
                <w:lang w:val="en-US" w:eastAsia="zh-CN"/>
              </w:rPr>
            </w:pPr>
            <w:r>
              <w:rPr>
                <w:rFonts w:hint="eastAsia" w:ascii="宋体" w:hAnsi="宋体"/>
                <w:sz w:val="28"/>
                <w:szCs w:val="28"/>
                <w:highlight w:val="none"/>
                <w:lang w:val="en-US" w:eastAsia="zh-CN"/>
              </w:rPr>
              <w:t>526</w:t>
            </w:r>
          </w:p>
        </w:tc>
      </w:tr>
    </w:tbl>
    <w:p>
      <w:pPr>
        <w:tabs>
          <w:tab w:val="left" w:pos="7513"/>
        </w:tabs>
        <w:adjustRightInd w:val="0"/>
        <w:snapToGrid w:val="0"/>
        <w:spacing w:line="56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三、单位主要工作任务</w:t>
      </w:r>
    </w:p>
    <w:p>
      <w:pPr>
        <w:spacing w:line="360" w:lineRule="auto"/>
        <w:ind w:firstLine="640" w:firstLineChars="200"/>
        <w:rPr>
          <w:rFonts w:ascii="仿宋_GB2312" w:eastAsia="仿宋_GB2312"/>
          <w:sz w:val="32"/>
          <w:szCs w:val="32"/>
          <w:highlight w:val="none"/>
        </w:rPr>
      </w:pPr>
      <w:r>
        <w:rPr>
          <w:rFonts w:hint="eastAsia" w:ascii="仿宋_GB2312" w:hAnsi="仿宋" w:eastAsia="仿宋_GB2312" w:cs="仿宋_GB2312"/>
          <w:sz w:val="32"/>
          <w:szCs w:val="32"/>
          <w:highlight w:val="none"/>
        </w:rPr>
        <w:t>202</w:t>
      </w:r>
      <w:r>
        <w:rPr>
          <w:rFonts w:hint="eastAsia" w:ascii="仿宋_GB2312" w:hAnsi="仿宋" w:eastAsia="仿宋_GB2312" w:cs="仿宋_GB2312"/>
          <w:sz w:val="32"/>
          <w:szCs w:val="32"/>
          <w:highlight w:val="none"/>
          <w:lang w:val="en-US" w:eastAsia="zh-CN"/>
        </w:rPr>
        <w:t>3</w:t>
      </w:r>
      <w:r>
        <w:rPr>
          <w:rFonts w:hint="eastAsia" w:ascii="仿宋_GB2312" w:hAnsi="仿宋" w:eastAsia="仿宋_GB2312" w:cs="仿宋_GB2312"/>
          <w:sz w:val="32"/>
          <w:szCs w:val="32"/>
          <w:highlight w:val="none"/>
        </w:rPr>
        <w:t>年</w:t>
      </w:r>
      <w:r>
        <w:rPr>
          <w:rFonts w:hint="eastAsia" w:ascii="仿宋_GB2312" w:hAnsi="仿宋" w:eastAsia="仿宋_GB2312"/>
          <w:sz w:val="32"/>
          <w:szCs w:val="32"/>
          <w:highlight w:val="none"/>
        </w:rPr>
        <w:t>，</w:t>
      </w:r>
      <w:r>
        <w:rPr>
          <w:rFonts w:hint="eastAsia" w:ascii="仿宋_GB2312" w:eastAsia="仿宋_GB2312"/>
          <w:sz w:val="32"/>
          <w:szCs w:val="32"/>
          <w:highlight w:val="none"/>
        </w:rPr>
        <w:t>厦门外国语学校是</w:t>
      </w:r>
      <w:bookmarkStart w:id="0" w:name="_GoBack"/>
      <w:bookmarkEnd w:id="0"/>
      <w:r>
        <w:rPr>
          <w:rFonts w:hint="eastAsia" w:ascii="仿宋_GB2312" w:eastAsia="仿宋_GB2312"/>
          <w:sz w:val="32"/>
          <w:szCs w:val="32"/>
          <w:highlight w:val="none"/>
        </w:rPr>
        <w:t>教育局直属学校，主要在市教育工委领导下，落实立德树人根本任务，坚持五育并举，全面提高教育质量。</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学校将以习近平新时代中国特色社会主义思想为指导，认真贯彻十九大和十九届四中、五中全会精神，学习习近平总书记关于教育的重要论述和全国、全省、全市教育大会精神，持续深化教育改革创新，全面提升教育质量，为办好人民满意教育、为加快我市“五大发展”示范市作出应有贡献，突出抓好以下重点工作：</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（一）全面落实立德树人根本</w:t>
      </w:r>
      <w:r>
        <w:rPr>
          <w:rFonts w:hint="eastAsia" w:ascii="仿宋_GB2312" w:eastAsia="仿宋_GB2312"/>
          <w:sz w:val="32"/>
          <w:szCs w:val="32"/>
          <w:highlight w:val="none"/>
          <w:lang w:eastAsia="zh-CN"/>
        </w:rPr>
        <w:t>任务</w:t>
      </w:r>
      <w:r>
        <w:rPr>
          <w:rFonts w:hint="eastAsia" w:ascii="仿宋_GB2312" w:eastAsia="仿宋_GB2312"/>
          <w:sz w:val="32"/>
          <w:szCs w:val="32"/>
          <w:highlight w:val="none"/>
        </w:rPr>
        <w:t>。</w:t>
      </w:r>
    </w:p>
    <w:p>
      <w:pPr>
        <w:spacing w:line="360" w:lineRule="auto"/>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（二）推进重点项目建设，特别是加强集美新校区建设</w:t>
      </w:r>
      <w:r>
        <w:rPr>
          <w:rFonts w:hint="eastAsia" w:ascii="仿宋_GB2312" w:eastAsia="仿宋_GB2312"/>
          <w:sz w:val="32"/>
          <w:szCs w:val="32"/>
          <w:highlight w:val="none"/>
          <w:lang w:eastAsia="zh-CN"/>
        </w:rPr>
        <w:t>。</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（三）狠抓教育教学管理，稳步提升教学质量。</w:t>
      </w:r>
    </w:p>
    <w:p>
      <w:pPr>
        <w:spacing w:line="360" w:lineRule="auto"/>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（四）全面加强师资队伍建设，为改革发展提供人才保障</w:t>
      </w:r>
      <w:r>
        <w:rPr>
          <w:rFonts w:hint="eastAsia" w:ascii="仿宋_GB2312" w:eastAsia="仿宋_GB2312"/>
          <w:sz w:val="32"/>
          <w:szCs w:val="32"/>
          <w:highlight w:val="none"/>
          <w:lang w:eastAsia="zh-CN"/>
        </w:rPr>
        <w:t>。</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（五）加速推进教育信息化建设。</w:t>
      </w:r>
    </w:p>
    <w:p>
      <w:pPr>
        <w:tabs>
          <w:tab w:val="left" w:pos="7513"/>
        </w:tabs>
        <w:adjustRightInd w:val="0"/>
        <w:snapToGrid w:val="0"/>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（六）改善办学条件。</w:t>
      </w:r>
    </w:p>
    <w:p>
      <w:pPr>
        <w:tabs>
          <w:tab w:val="left" w:pos="7513"/>
        </w:tabs>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（七）强化外语学科特色建设，提升国际化办学水平</w:t>
      </w:r>
      <w:r>
        <w:rPr>
          <w:rFonts w:hint="eastAsia" w:ascii="仿宋_GB2312" w:eastAsia="仿宋_GB2312"/>
          <w:sz w:val="32"/>
          <w:szCs w:val="32"/>
          <w:highlight w:val="none"/>
          <w:lang w:eastAsia="zh-CN"/>
        </w:rPr>
        <w:t>。</w:t>
      </w:r>
    </w:p>
    <w:p>
      <w:pPr>
        <w:tabs>
          <w:tab w:val="left" w:pos="7513"/>
        </w:tabs>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（八）落实校园常态化防控措施，确保教育教学安全有序</w:t>
      </w:r>
      <w:r>
        <w:rPr>
          <w:rFonts w:hint="eastAsia" w:ascii="仿宋_GB2312" w:eastAsia="仿宋_GB2312"/>
          <w:sz w:val="32"/>
          <w:szCs w:val="32"/>
          <w:highlight w:val="none"/>
          <w:lang w:eastAsia="zh-CN"/>
        </w:rPr>
        <w:t>。</w:t>
      </w:r>
    </w:p>
    <w:p>
      <w:pPr>
        <w:tabs>
          <w:tab w:val="left" w:pos="7513"/>
        </w:tabs>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（九）推进校园基础设施建设，提升后勤服务保障质量</w:t>
      </w:r>
      <w:r>
        <w:rPr>
          <w:rFonts w:hint="eastAsia" w:ascii="仿宋_GB2312" w:eastAsia="仿宋_GB2312"/>
          <w:sz w:val="32"/>
          <w:szCs w:val="32"/>
          <w:highlight w:val="none"/>
          <w:lang w:eastAsia="zh-CN"/>
        </w:rPr>
        <w:t>。</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p>
    <w:p>
      <w:pPr>
        <w:tabs>
          <w:tab w:val="left" w:pos="7513"/>
        </w:tabs>
        <w:adjustRightInd w:val="0"/>
        <w:snapToGrid w:val="0"/>
        <w:spacing w:line="560" w:lineRule="exact"/>
        <w:jc w:val="center"/>
        <w:rPr>
          <w:rFonts w:hint="eastAsia" w:ascii="仿宋_GB2312" w:hAnsi="仿宋" w:eastAsia="仿宋_GB2312" w:cs="仿宋_GB2312"/>
          <w:sz w:val="32"/>
          <w:szCs w:val="32"/>
          <w:highlight w:val="none"/>
        </w:rPr>
      </w:pPr>
      <w:r>
        <w:rPr>
          <w:rFonts w:hint="eastAsia" w:ascii="黑体" w:hAnsi="黑体" w:eastAsia="黑体"/>
          <w:sz w:val="32"/>
          <w:szCs w:val="32"/>
          <w:highlight w:val="none"/>
        </w:rPr>
        <w:t>第二部分  2023年单位预算说明</w:t>
      </w:r>
    </w:p>
    <w:p>
      <w:pPr>
        <w:tabs>
          <w:tab w:val="left" w:pos="7513"/>
        </w:tabs>
        <w:adjustRightInd w:val="0"/>
        <w:snapToGrid w:val="0"/>
        <w:spacing w:line="560" w:lineRule="exact"/>
        <w:ind w:firstLine="640" w:firstLineChars="200"/>
        <w:rPr>
          <w:rFonts w:hint="eastAsia" w:ascii="黑体" w:hAnsi="黑体" w:eastAsia="黑体"/>
          <w:sz w:val="32"/>
          <w:szCs w:val="32"/>
          <w:highlight w:val="none"/>
        </w:rPr>
      </w:pPr>
      <w:r>
        <w:rPr>
          <w:rFonts w:hint="eastAsia" w:ascii="黑体" w:hAnsi="黑体" w:eastAsia="黑体"/>
          <w:sz w:val="32"/>
          <w:szCs w:val="32"/>
          <w:highlight w:val="none"/>
        </w:rPr>
        <w:t>一、2023年单位预算收支总体情况</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根据预算管理的有关规定，单位的全部收入和支出均纳入部门预算管理。</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sz w:val="32"/>
          <w:szCs w:val="32"/>
          <w:highlight w:val="none"/>
        </w:rPr>
        <w:t>（一）</w:t>
      </w:r>
      <w:r>
        <w:rPr>
          <w:rFonts w:hint="eastAsia" w:ascii="仿宋_GB2312" w:hAnsi="仿宋" w:eastAsia="仿宋_GB2312" w:cs="仿宋_GB2312"/>
          <w:sz w:val="32"/>
          <w:szCs w:val="32"/>
          <w:highlight w:val="none"/>
          <w:lang w:eastAsia="zh-CN"/>
        </w:rPr>
        <w:t>厦门外国语学校</w:t>
      </w:r>
      <w:r>
        <w:rPr>
          <w:rFonts w:hint="eastAsia" w:ascii="仿宋_GB2312" w:hAnsi="仿宋" w:eastAsia="仿宋_GB2312"/>
          <w:sz w:val="32"/>
          <w:szCs w:val="32"/>
          <w:highlight w:val="none"/>
        </w:rPr>
        <w:t>2023年收入预算为</w:t>
      </w:r>
      <w:r>
        <w:rPr>
          <w:rFonts w:hint="eastAsia" w:ascii="仿宋_GB2312" w:hAnsi="仿宋" w:eastAsia="仿宋_GB2312" w:cs="仿宋_GB2312"/>
          <w:sz w:val="32"/>
          <w:szCs w:val="32"/>
          <w:highlight w:val="none"/>
          <w:lang w:val="en-US" w:eastAsia="zh-CN"/>
        </w:rPr>
        <w:t>25873.55</w:t>
      </w:r>
      <w:r>
        <w:rPr>
          <w:rFonts w:hint="eastAsia" w:ascii="仿宋_GB2312" w:hAnsi="仿宋" w:eastAsia="仿宋_GB2312"/>
          <w:sz w:val="32"/>
          <w:szCs w:val="32"/>
          <w:highlight w:val="none"/>
        </w:rPr>
        <w:t>万元，2022年收入预算为</w:t>
      </w:r>
      <w:r>
        <w:rPr>
          <w:rFonts w:ascii="仿宋_GB2312" w:hAnsi="仿宋" w:eastAsia="仿宋_GB2312" w:cs="仿宋_GB2312"/>
          <w:sz w:val="32"/>
          <w:szCs w:val="32"/>
          <w:highlight w:val="none"/>
        </w:rPr>
        <w:t>25356.12</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w:t>
      </w:r>
      <w:r>
        <w:rPr>
          <w:rFonts w:hint="eastAsia" w:ascii="仿宋_GB2312" w:hAnsi="仿宋" w:eastAsia="仿宋_GB2312" w:cs="仿宋_GB2312"/>
          <w:sz w:val="32"/>
          <w:szCs w:val="32"/>
          <w:highlight w:val="none"/>
        </w:rPr>
        <w:t>比2022年预算数增加</w:t>
      </w:r>
      <w:r>
        <w:rPr>
          <w:rFonts w:hint="eastAsia" w:ascii="仿宋_GB2312" w:hAnsi="仿宋" w:eastAsia="仿宋_GB2312" w:cs="仿宋_GB2312"/>
          <w:sz w:val="32"/>
          <w:szCs w:val="32"/>
          <w:highlight w:val="none"/>
          <w:lang w:val="en-US" w:eastAsia="zh-CN"/>
        </w:rPr>
        <w:t>517.43</w:t>
      </w:r>
      <w:r>
        <w:rPr>
          <w:rFonts w:hint="eastAsia" w:ascii="仿宋_GB2312" w:hAnsi="仿宋" w:eastAsia="仿宋_GB2312" w:cs="仿宋_GB2312"/>
          <w:sz w:val="32"/>
          <w:szCs w:val="32"/>
          <w:highlight w:val="none"/>
        </w:rPr>
        <w:t>万元，增长</w:t>
      </w:r>
      <w:r>
        <w:rPr>
          <w:rFonts w:hint="eastAsia" w:ascii="仿宋_GB2312" w:hAnsi="仿宋" w:eastAsia="仿宋_GB2312" w:cs="仿宋_GB2312"/>
          <w:sz w:val="32"/>
          <w:szCs w:val="32"/>
          <w:highlight w:val="none"/>
          <w:lang w:val="en-US" w:eastAsia="zh-CN"/>
        </w:rPr>
        <w:t>2.04</w:t>
      </w:r>
      <w:r>
        <w:rPr>
          <w:rFonts w:hint="eastAsia" w:ascii="仿宋_GB2312" w:hAnsi="仿宋" w:eastAsia="仿宋_GB2312" w:cs="仿宋_GB2312"/>
          <w:sz w:val="32"/>
          <w:szCs w:val="32"/>
          <w:highlight w:val="none"/>
        </w:rPr>
        <w:t>％</w:t>
      </w:r>
      <w:r>
        <w:rPr>
          <w:rFonts w:hint="eastAsia" w:ascii="仿宋_GB2312" w:eastAsia="仿宋_GB2312"/>
          <w:sz w:val="32"/>
          <w:szCs w:val="32"/>
          <w:highlight w:val="none"/>
        </w:rPr>
        <w:t>，</w:t>
      </w:r>
      <w:r>
        <w:rPr>
          <w:rFonts w:hint="eastAsia" w:ascii="仿宋_GB2312" w:hAnsi="仿宋" w:eastAsia="仿宋_GB2312" w:cs="仿宋_GB2312"/>
          <w:sz w:val="32"/>
          <w:szCs w:val="32"/>
          <w:highlight w:val="none"/>
        </w:rPr>
        <w:t>具体情况如下：</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1.</w:t>
      </w:r>
      <w:r>
        <w:rPr>
          <w:rFonts w:hint="eastAsia" w:ascii="仿宋_GB2312" w:hAnsi="仿宋" w:eastAsia="仿宋_GB2312" w:cs="仿宋_GB2312"/>
          <w:sz w:val="32"/>
          <w:szCs w:val="32"/>
          <w:highlight w:val="none"/>
        </w:rPr>
        <w:t>财政拨款收入23637.5</w:t>
      </w:r>
      <w:r>
        <w:rPr>
          <w:rFonts w:hint="eastAsia" w:ascii="仿宋_GB2312" w:hAnsi="仿宋" w:eastAsia="仿宋_GB2312" w:cs="仿宋_GB2312"/>
          <w:sz w:val="32"/>
          <w:szCs w:val="32"/>
          <w:highlight w:val="none"/>
          <w:lang w:val="en-US" w:eastAsia="zh-CN"/>
        </w:rPr>
        <w:t>5</w:t>
      </w:r>
      <w:r>
        <w:rPr>
          <w:rFonts w:hint="eastAsia" w:ascii="仿宋_GB2312" w:hAnsi="仿宋" w:eastAsia="仿宋_GB2312" w:cs="仿宋_GB2312"/>
          <w:sz w:val="32"/>
          <w:szCs w:val="32"/>
          <w:highlight w:val="none"/>
        </w:rPr>
        <w:t>万元，其中</w:t>
      </w:r>
      <w:r>
        <w:rPr>
          <w:rFonts w:hint="eastAsia" w:ascii="仿宋_GB2312" w:hAnsi="仿宋" w:eastAsia="仿宋_GB2312"/>
          <w:sz w:val="32"/>
          <w:szCs w:val="32"/>
          <w:highlight w:val="none"/>
        </w:rPr>
        <w:t>一般公共预算拨款收入</w:t>
      </w:r>
      <w:r>
        <w:rPr>
          <w:rFonts w:hint="eastAsia" w:ascii="仿宋_GB2312" w:hAnsi="仿宋" w:eastAsia="仿宋_GB2312" w:cs="仿宋_GB2312"/>
          <w:sz w:val="32"/>
          <w:szCs w:val="32"/>
          <w:highlight w:val="none"/>
        </w:rPr>
        <w:t>23637.5</w:t>
      </w:r>
      <w:r>
        <w:rPr>
          <w:rFonts w:hint="eastAsia" w:ascii="仿宋_GB2312" w:hAnsi="仿宋" w:eastAsia="仿宋_GB2312" w:cs="仿宋_GB2312"/>
          <w:sz w:val="32"/>
          <w:szCs w:val="32"/>
          <w:highlight w:val="none"/>
          <w:lang w:val="en-US" w:eastAsia="zh-CN"/>
        </w:rPr>
        <w:t>5</w:t>
      </w:r>
      <w:r>
        <w:rPr>
          <w:rFonts w:hint="eastAsia" w:ascii="仿宋_GB2312" w:hAnsi="仿宋" w:eastAsia="仿宋_GB2312"/>
          <w:sz w:val="32"/>
          <w:szCs w:val="32"/>
          <w:highlight w:val="none"/>
        </w:rPr>
        <w:t>万元，政府性基金拨款收入</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万元，国有资本经营预算拨款收入</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2.财政专户管理资金收入</w:t>
      </w:r>
      <w:r>
        <w:rPr>
          <w:rFonts w:hint="eastAsia" w:ascii="仿宋_GB2312" w:hAnsi="仿宋" w:eastAsia="仿宋_GB2312" w:cs="仿宋_GB2312"/>
          <w:sz w:val="32"/>
          <w:szCs w:val="32"/>
          <w:highlight w:val="none"/>
        </w:rPr>
        <w:t>1190</w:t>
      </w:r>
      <w:r>
        <w:rPr>
          <w:rFonts w:hint="eastAsia" w:ascii="仿宋_GB2312" w:hAnsi="仿宋" w:eastAsia="仿宋_GB2312" w:cs="仿宋_GB2312"/>
          <w:sz w:val="32"/>
          <w:szCs w:val="32"/>
          <w:highlight w:val="none"/>
          <w:lang w:eastAsia="zh-CN"/>
        </w:rPr>
        <w:t>万</w:t>
      </w:r>
      <w:r>
        <w:rPr>
          <w:rFonts w:hint="eastAsia" w:ascii="仿宋_GB2312" w:hAnsi="仿宋" w:eastAsia="仿宋_GB2312"/>
          <w:sz w:val="32"/>
          <w:szCs w:val="32"/>
          <w:highlight w:val="none"/>
        </w:rPr>
        <w:t>元；</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3.事业收入</w:t>
      </w:r>
      <w:r>
        <w:rPr>
          <w:rFonts w:hint="eastAsia" w:ascii="仿宋_GB2312" w:hAnsi="仿宋" w:eastAsia="仿宋_GB2312" w:cs="仿宋_GB2312"/>
          <w:sz w:val="32"/>
          <w:szCs w:val="32"/>
          <w:highlight w:val="none"/>
          <w:lang w:val="en-US" w:eastAsia="zh-CN"/>
        </w:rPr>
        <w:t>0</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4.事业单位经营收入</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5.上级补助收入</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6.附属单位上缴收入</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ascii="仿宋_GB2312" w:hAnsi="仿宋" w:eastAsia="仿宋_GB2312"/>
          <w:sz w:val="32"/>
          <w:szCs w:val="32"/>
          <w:highlight w:val="none"/>
        </w:rPr>
        <w:t>7</w:t>
      </w:r>
      <w:r>
        <w:rPr>
          <w:rFonts w:hint="eastAsia" w:ascii="仿宋_GB2312" w:hAnsi="仿宋" w:eastAsia="仿宋_GB2312"/>
          <w:sz w:val="32"/>
          <w:szCs w:val="32"/>
          <w:highlight w:val="none"/>
        </w:rPr>
        <w:t>.其他收入</w:t>
      </w:r>
      <w:r>
        <w:rPr>
          <w:rFonts w:hint="eastAsia" w:ascii="仿宋_GB2312" w:hAnsi="仿宋" w:eastAsia="仿宋_GB2312"/>
          <w:sz w:val="32"/>
          <w:szCs w:val="32"/>
          <w:highlight w:val="none"/>
          <w:lang w:val="en-US" w:eastAsia="zh-CN"/>
        </w:rPr>
        <w:t>1046</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ascii="仿宋_GB2312" w:hAnsi="仿宋" w:eastAsia="仿宋_GB2312"/>
          <w:sz w:val="32"/>
          <w:szCs w:val="32"/>
          <w:highlight w:val="none"/>
        </w:rPr>
        <w:t>8</w:t>
      </w:r>
      <w:r>
        <w:rPr>
          <w:rFonts w:hint="eastAsia" w:ascii="仿宋_GB2312" w:hAnsi="仿宋" w:eastAsia="仿宋_GB2312"/>
          <w:sz w:val="32"/>
          <w:szCs w:val="32"/>
          <w:highlight w:val="none"/>
        </w:rPr>
        <w:t>.上年</w:t>
      </w:r>
      <w:r>
        <w:rPr>
          <w:rFonts w:ascii="仿宋_GB2312" w:hAnsi="仿宋" w:eastAsia="仿宋_GB2312"/>
          <w:sz w:val="32"/>
          <w:szCs w:val="32"/>
          <w:highlight w:val="none"/>
        </w:rPr>
        <w:t>结转</w:t>
      </w:r>
      <w:r>
        <w:rPr>
          <w:rFonts w:hint="eastAsia" w:ascii="仿宋_GB2312" w:hAnsi="仿宋" w:eastAsia="仿宋_GB2312"/>
          <w:sz w:val="32"/>
          <w:szCs w:val="32"/>
          <w:highlight w:val="none"/>
        </w:rPr>
        <w:t>结余</w:t>
      </w:r>
      <w:r>
        <w:rPr>
          <w:rFonts w:hint="eastAsia" w:ascii="仿宋_GB2312" w:hAnsi="仿宋" w:eastAsia="仿宋_GB2312" w:cs="仿宋_GB2312"/>
          <w:sz w:val="32"/>
          <w:szCs w:val="32"/>
          <w:highlight w:val="none"/>
          <w:lang w:val="en-US" w:eastAsia="zh-CN"/>
        </w:rPr>
        <w:t>0</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sz w:val="32"/>
          <w:szCs w:val="32"/>
          <w:highlight w:val="none"/>
        </w:rPr>
        <w:t>（二）</w:t>
      </w:r>
      <w:r>
        <w:rPr>
          <w:rFonts w:hint="eastAsia" w:ascii="仿宋_GB2312" w:hAnsi="仿宋" w:eastAsia="仿宋_GB2312" w:cs="仿宋_GB2312"/>
          <w:sz w:val="32"/>
          <w:szCs w:val="32"/>
          <w:highlight w:val="none"/>
          <w:lang w:eastAsia="zh-CN"/>
        </w:rPr>
        <w:t>厦门外国语学校</w:t>
      </w:r>
      <w:r>
        <w:rPr>
          <w:rFonts w:hint="eastAsia" w:ascii="仿宋_GB2312" w:hAnsi="仿宋" w:eastAsia="仿宋_GB2312"/>
          <w:sz w:val="32"/>
          <w:szCs w:val="32"/>
          <w:highlight w:val="none"/>
        </w:rPr>
        <w:t>2023年支出预算为</w:t>
      </w:r>
      <w:r>
        <w:rPr>
          <w:rFonts w:hint="eastAsia" w:ascii="仿宋_GB2312" w:hAnsi="仿宋" w:eastAsia="仿宋_GB2312" w:cs="仿宋_GB2312"/>
          <w:sz w:val="32"/>
          <w:szCs w:val="32"/>
          <w:highlight w:val="none"/>
          <w:lang w:val="en-US" w:eastAsia="zh-CN"/>
        </w:rPr>
        <w:t>25873.55</w:t>
      </w:r>
      <w:r>
        <w:rPr>
          <w:rFonts w:hint="eastAsia" w:ascii="仿宋_GB2312" w:hAnsi="仿宋" w:eastAsia="仿宋_GB2312"/>
          <w:sz w:val="32"/>
          <w:szCs w:val="32"/>
          <w:highlight w:val="none"/>
        </w:rPr>
        <w:t>万元</w:t>
      </w:r>
      <w:r>
        <w:rPr>
          <w:rFonts w:hint="eastAsia" w:ascii="仿宋_GB2312" w:hAnsi="仿宋" w:eastAsia="仿宋_GB2312" w:cs="仿宋_GB2312"/>
          <w:color w:val="000000"/>
          <w:sz w:val="32"/>
          <w:szCs w:val="32"/>
          <w:highlight w:val="none"/>
        </w:rPr>
        <w:t>（</w:t>
      </w:r>
      <w:r>
        <w:rPr>
          <w:rFonts w:ascii="仿宋_GB2312" w:hAnsi="仿宋" w:eastAsia="仿宋_GB2312" w:cs="仿宋_GB2312"/>
          <w:color w:val="000000"/>
          <w:sz w:val="32"/>
          <w:szCs w:val="32"/>
          <w:highlight w:val="none"/>
        </w:rPr>
        <w:t>不含市对区转移支付</w:t>
      </w:r>
      <w:r>
        <w:rPr>
          <w:rFonts w:hint="eastAsia" w:ascii="仿宋_GB2312" w:hAnsi="仿宋" w:eastAsia="仿宋_GB2312" w:cs="仿宋_GB2312"/>
          <w:color w:val="000000"/>
          <w:sz w:val="32"/>
          <w:szCs w:val="32"/>
          <w:highlight w:val="none"/>
        </w:rPr>
        <w:t>项目</w:t>
      </w:r>
      <w:r>
        <w:rPr>
          <w:rFonts w:ascii="仿宋_GB2312" w:hAnsi="仿宋" w:eastAsia="仿宋_GB2312" w:cs="仿宋_GB2312"/>
          <w:color w:val="000000"/>
          <w:sz w:val="32"/>
          <w:szCs w:val="32"/>
          <w:highlight w:val="none"/>
        </w:rPr>
        <w:t>）</w:t>
      </w:r>
      <w:r>
        <w:rPr>
          <w:rFonts w:hint="eastAsia" w:ascii="仿宋_GB2312" w:hAnsi="仿宋" w:eastAsia="仿宋_GB2312"/>
          <w:sz w:val="32"/>
          <w:szCs w:val="32"/>
          <w:highlight w:val="none"/>
        </w:rPr>
        <w:t>，2022年支出预算为</w:t>
      </w:r>
      <w:r>
        <w:rPr>
          <w:rFonts w:ascii="仿宋_GB2312" w:hAnsi="仿宋" w:eastAsia="仿宋_GB2312" w:cs="仿宋_GB2312"/>
          <w:sz w:val="32"/>
          <w:szCs w:val="32"/>
          <w:highlight w:val="none"/>
        </w:rPr>
        <w:t>25356.12</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w:t>
      </w:r>
      <w:r>
        <w:rPr>
          <w:rFonts w:hint="eastAsia" w:ascii="仿宋_GB2312" w:hAnsi="仿宋" w:eastAsia="仿宋_GB2312" w:cs="仿宋_GB2312"/>
          <w:sz w:val="32"/>
          <w:szCs w:val="32"/>
          <w:highlight w:val="none"/>
        </w:rPr>
        <w:t>比2022年预算数增加</w:t>
      </w:r>
      <w:r>
        <w:rPr>
          <w:rFonts w:hint="eastAsia" w:ascii="仿宋_GB2312" w:hAnsi="仿宋" w:eastAsia="仿宋_GB2312" w:cs="仿宋_GB2312"/>
          <w:sz w:val="32"/>
          <w:szCs w:val="32"/>
          <w:highlight w:val="none"/>
          <w:lang w:val="en-US" w:eastAsia="zh-CN"/>
        </w:rPr>
        <w:t>517.43</w:t>
      </w:r>
      <w:r>
        <w:rPr>
          <w:rFonts w:hint="eastAsia" w:ascii="仿宋_GB2312" w:hAnsi="仿宋" w:eastAsia="仿宋_GB2312" w:cs="仿宋_GB2312"/>
          <w:sz w:val="32"/>
          <w:szCs w:val="32"/>
          <w:highlight w:val="none"/>
        </w:rPr>
        <w:t>万元，增长</w:t>
      </w:r>
      <w:r>
        <w:rPr>
          <w:rFonts w:hint="eastAsia" w:ascii="仿宋_GB2312" w:hAnsi="仿宋" w:eastAsia="仿宋_GB2312" w:cs="仿宋_GB2312"/>
          <w:sz w:val="32"/>
          <w:szCs w:val="32"/>
          <w:highlight w:val="none"/>
          <w:lang w:val="en-US" w:eastAsia="zh-CN"/>
        </w:rPr>
        <w:t>2.04</w:t>
      </w:r>
      <w:r>
        <w:rPr>
          <w:rFonts w:hint="eastAsia" w:ascii="仿宋_GB2312" w:hAnsi="仿宋" w:eastAsia="仿宋_GB2312" w:cs="仿宋_GB2312"/>
          <w:sz w:val="32"/>
          <w:szCs w:val="32"/>
          <w:highlight w:val="none"/>
        </w:rPr>
        <w:t>％</w:t>
      </w:r>
      <w:r>
        <w:rPr>
          <w:rFonts w:hint="eastAsia" w:ascii="仿宋_GB2312" w:eastAsia="仿宋_GB2312"/>
          <w:sz w:val="32"/>
          <w:szCs w:val="32"/>
          <w:highlight w:val="none"/>
        </w:rPr>
        <w:t>，</w:t>
      </w:r>
      <w:r>
        <w:rPr>
          <w:rFonts w:hint="eastAsia" w:ascii="仿宋_GB2312" w:hAnsi="仿宋" w:eastAsia="仿宋_GB2312" w:cs="仿宋_GB2312"/>
          <w:sz w:val="32"/>
          <w:szCs w:val="32"/>
          <w:highlight w:val="none"/>
        </w:rPr>
        <w:t>具体情况如下：</w:t>
      </w:r>
    </w:p>
    <w:p>
      <w:pPr>
        <w:tabs>
          <w:tab w:val="left" w:pos="7513"/>
        </w:tabs>
        <w:adjustRightInd w:val="0"/>
        <w:snapToGrid w:val="0"/>
        <w:spacing w:line="560" w:lineRule="exact"/>
        <w:ind w:firstLine="640" w:firstLineChars="200"/>
        <w:rPr>
          <w:rFonts w:hint="eastAsia" w:ascii="仿宋_GB2312" w:hAnsi="仿宋" w:eastAsia="仿宋_GB2312"/>
          <w:color w:val="0000FF"/>
          <w:sz w:val="32"/>
          <w:szCs w:val="32"/>
          <w:highlight w:val="none"/>
        </w:rPr>
      </w:pPr>
      <w:r>
        <w:rPr>
          <w:rFonts w:hint="eastAsia" w:ascii="仿宋_GB2312" w:hAnsi="仿宋" w:eastAsia="仿宋_GB2312"/>
          <w:sz w:val="32"/>
          <w:szCs w:val="32"/>
          <w:highlight w:val="none"/>
        </w:rPr>
        <w:t>1.基本支出</w:t>
      </w:r>
      <w:r>
        <w:rPr>
          <w:rFonts w:hint="eastAsia" w:ascii="仿宋_GB2312" w:hAnsi="仿宋" w:eastAsia="仿宋_GB2312" w:cs="仿宋_GB2312"/>
          <w:sz w:val="32"/>
          <w:szCs w:val="32"/>
          <w:highlight w:val="none"/>
        </w:rPr>
        <w:t>22083.5</w:t>
      </w:r>
      <w:r>
        <w:rPr>
          <w:rFonts w:hint="eastAsia" w:ascii="仿宋_GB2312" w:hAnsi="仿宋" w:eastAsia="仿宋_GB2312" w:cs="仿宋_GB2312"/>
          <w:sz w:val="32"/>
          <w:szCs w:val="32"/>
          <w:highlight w:val="none"/>
          <w:lang w:val="en-US" w:eastAsia="zh-CN"/>
        </w:rPr>
        <w:t>5</w:t>
      </w:r>
      <w:r>
        <w:rPr>
          <w:rFonts w:hint="eastAsia" w:ascii="仿宋_GB2312" w:hAnsi="仿宋" w:eastAsia="仿宋_GB2312"/>
          <w:sz w:val="32"/>
          <w:szCs w:val="32"/>
          <w:highlight w:val="none"/>
        </w:rPr>
        <w:t>万元，其中，人员支出</w:t>
      </w:r>
      <w:r>
        <w:rPr>
          <w:rFonts w:hint="eastAsia" w:ascii="仿宋_GB2312" w:hAnsi="仿宋" w:eastAsia="仿宋_GB2312" w:cs="仿宋_GB2312"/>
          <w:sz w:val="32"/>
          <w:szCs w:val="32"/>
          <w:highlight w:val="none"/>
        </w:rPr>
        <w:t>18138.43</w:t>
      </w:r>
      <w:r>
        <w:rPr>
          <w:rFonts w:hint="eastAsia" w:ascii="仿宋_GB2312" w:hAnsi="仿宋" w:eastAsia="仿宋_GB2312"/>
          <w:sz w:val="32"/>
          <w:szCs w:val="32"/>
          <w:highlight w:val="none"/>
        </w:rPr>
        <w:t>万元，公用支出</w:t>
      </w:r>
      <w:r>
        <w:rPr>
          <w:rFonts w:hint="eastAsia" w:ascii="仿宋_GB2312" w:hAnsi="仿宋" w:eastAsia="仿宋_GB2312" w:cs="仿宋_GB2312"/>
          <w:sz w:val="32"/>
          <w:szCs w:val="32"/>
          <w:highlight w:val="none"/>
        </w:rPr>
        <w:t>3945.1</w:t>
      </w:r>
      <w:r>
        <w:rPr>
          <w:rFonts w:hint="eastAsia" w:ascii="仿宋_GB2312" w:hAnsi="仿宋" w:eastAsia="仿宋_GB2312" w:cs="仿宋_GB2312"/>
          <w:sz w:val="32"/>
          <w:szCs w:val="32"/>
          <w:highlight w:val="none"/>
          <w:lang w:val="en-US" w:eastAsia="zh-CN"/>
        </w:rPr>
        <w:t>2</w:t>
      </w:r>
      <w:r>
        <w:rPr>
          <w:rFonts w:hint="eastAsia" w:ascii="仿宋_GB2312" w:hAnsi="仿宋" w:eastAsia="仿宋_GB2312"/>
          <w:sz w:val="32"/>
          <w:szCs w:val="32"/>
          <w:highlight w:val="none"/>
        </w:rPr>
        <w:t>万元</w:t>
      </w:r>
      <w:r>
        <w:rPr>
          <w:rFonts w:hint="eastAsia" w:ascii="仿宋_GB2312" w:hAnsi="仿宋" w:eastAsia="仿宋_GB2312"/>
          <w:color w:val="0000FF"/>
          <w:sz w:val="32"/>
          <w:szCs w:val="32"/>
          <w:highlight w:val="none"/>
        </w:rPr>
        <w:t>；</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2.项目支出</w:t>
      </w:r>
      <w:r>
        <w:rPr>
          <w:rFonts w:hint="eastAsia" w:ascii="仿宋_GB2312" w:hAnsi="仿宋" w:eastAsia="仿宋_GB2312" w:cs="仿宋_GB2312"/>
          <w:sz w:val="32"/>
          <w:szCs w:val="32"/>
          <w:highlight w:val="none"/>
        </w:rPr>
        <w:t>3790</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3.非</w:t>
      </w:r>
      <w:r>
        <w:rPr>
          <w:rFonts w:ascii="仿宋_GB2312" w:hAnsi="仿宋" w:eastAsia="仿宋_GB2312"/>
          <w:sz w:val="32"/>
          <w:szCs w:val="32"/>
          <w:highlight w:val="none"/>
        </w:rPr>
        <w:t>财政拨款</w:t>
      </w:r>
      <w:r>
        <w:rPr>
          <w:rFonts w:hint="eastAsia" w:ascii="仿宋_GB2312" w:hAnsi="仿宋" w:eastAsia="仿宋_GB2312"/>
          <w:sz w:val="32"/>
          <w:szCs w:val="32"/>
          <w:highlight w:val="none"/>
        </w:rPr>
        <w:t>支出</w:t>
      </w:r>
      <w:r>
        <w:rPr>
          <w:rFonts w:hint="eastAsia" w:ascii="仿宋_GB2312" w:hAnsi="仿宋" w:eastAsia="仿宋_GB2312" w:cs="仿宋_GB2312"/>
          <w:sz w:val="32"/>
          <w:szCs w:val="32"/>
          <w:highlight w:val="none"/>
          <w:lang w:val="en-US" w:eastAsia="zh-CN"/>
        </w:rPr>
        <w:t>0</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（三）</w:t>
      </w:r>
      <w:r>
        <w:rPr>
          <w:rFonts w:hint="eastAsia" w:ascii="仿宋_GB2312" w:hAnsi="仿宋" w:eastAsia="仿宋_GB2312"/>
          <w:sz w:val="32"/>
          <w:szCs w:val="32"/>
          <w:highlight w:val="none"/>
          <w:lang w:eastAsia="zh-CN"/>
        </w:rPr>
        <w:t>厦门外国语学校</w:t>
      </w:r>
      <w:r>
        <w:rPr>
          <w:rFonts w:hint="eastAsia" w:ascii="仿宋_GB2312" w:hAnsi="仿宋" w:eastAsia="仿宋_GB2312"/>
          <w:sz w:val="32"/>
          <w:szCs w:val="32"/>
          <w:highlight w:val="none"/>
        </w:rPr>
        <w:t>2023年市对区转移</w:t>
      </w:r>
      <w:r>
        <w:rPr>
          <w:rFonts w:ascii="仿宋_GB2312" w:hAnsi="仿宋" w:eastAsia="仿宋_GB2312"/>
          <w:sz w:val="32"/>
          <w:szCs w:val="32"/>
          <w:highlight w:val="none"/>
        </w:rPr>
        <w:t>支付项目</w:t>
      </w:r>
      <w:r>
        <w:rPr>
          <w:rFonts w:hint="eastAsia" w:ascii="仿宋_GB2312" w:hAnsi="仿宋" w:eastAsia="仿宋_GB2312"/>
          <w:sz w:val="32"/>
          <w:szCs w:val="32"/>
          <w:highlight w:val="none"/>
        </w:rPr>
        <w:t>预算为</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w:t>
      </w:r>
    </w:p>
    <w:p>
      <w:pPr>
        <w:tabs>
          <w:tab w:val="left" w:pos="7513"/>
        </w:tabs>
        <w:adjustRightInd w:val="0"/>
        <w:snapToGrid w:val="0"/>
        <w:spacing w:line="560" w:lineRule="exact"/>
        <w:ind w:firstLine="640" w:firstLineChars="200"/>
        <w:rPr>
          <w:rFonts w:hint="eastAsia" w:ascii="黑体" w:hAnsi="黑体" w:eastAsia="黑体" w:cs="仿宋_GB2312"/>
          <w:bCs/>
          <w:sz w:val="32"/>
          <w:szCs w:val="32"/>
          <w:highlight w:val="none"/>
        </w:rPr>
      </w:pPr>
      <w:r>
        <w:rPr>
          <w:rFonts w:hint="eastAsia" w:ascii="黑体" w:hAnsi="黑体" w:eastAsia="黑体" w:cs="仿宋_GB2312"/>
          <w:bCs/>
          <w:sz w:val="32"/>
          <w:szCs w:val="32"/>
          <w:highlight w:val="none"/>
        </w:rPr>
        <w:t>二、一般公共预算财政拨款支出预算情况</w:t>
      </w:r>
    </w:p>
    <w:p>
      <w:pPr>
        <w:tabs>
          <w:tab w:val="left" w:pos="7513"/>
        </w:tabs>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cs="宋体"/>
          <w:bCs/>
          <w:sz w:val="32"/>
          <w:szCs w:val="32"/>
          <w:highlight w:val="none"/>
        </w:rPr>
        <w:t>2023年</w:t>
      </w:r>
      <w:r>
        <w:rPr>
          <w:rFonts w:hint="eastAsia" w:ascii="仿宋_GB2312" w:hAnsi="仿宋" w:eastAsia="仿宋_GB2312" w:cs="仿宋_GB2312"/>
          <w:sz w:val="32"/>
          <w:szCs w:val="32"/>
          <w:highlight w:val="none"/>
        </w:rPr>
        <w:t>度一般公共预算支出23637.5</w:t>
      </w:r>
      <w:r>
        <w:rPr>
          <w:rFonts w:hint="eastAsia" w:ascii="仿宋_GB2312" w:hAnsi="仿宋" w:eastAsia="仿宋_GB2312" w:cs="仿宋_GB2312"/>
          <w:sz w:val="32"/>
          <w:szCs w:val="32"/>
          <w:highlight w:val="none"/>
          <w:lang w:val="en-US" w:eastAsia="zh-CN"/>
        </w:rPr>
        <w:t>5</w:t>
      </w:r>
      <w:r>
        <w:rPr>
          <w:rFonts w:hint="eastAsia" w:ascii="仿宋_GB2312" w:hAnsi="仿宋" w:eastAsia="仿宋_GB2312" w:cs="仿宋_GB2312"/>
          <w:sz w:val="32"/>
          <w:szCs w:val="32"/>
          <w:highlight w:val="none"/>
        </w:rPr>
        <w:t>万元</w:t>
      </w:r>
      <w:r>
        <w:rPr>
          <w:rFonts w:hint="eastAsia" w:ascii="仿宋_GB2312" w:hAnsi="仿宋" w:eastAsia="仿宋_GB2312" w:cs="仿宋_GB2312"/>
          <w:sz w:val="32"/>
          <w:szCs w:val="32"/>
          <w:highlight w:val="none"/>
          <w:lang w:eastAsia="zh-CN"/>
        </w:rPr>
        <w:t>，</w:t>
      </w:r>
      <w:r>
        <w:rPr>
          <w:rFonts w:hint="eastAsia" w:ascii="仿宋_GB2312" w:hAnsi="仿宋" w:eastAsia="仿宋_GB2312" w:cs="宋体"/>
          <w:bCs/>
          <w:sz w:val="32"/>
          <w:szCs w:val="32"/>
          <w:highlight w:val="none"/>
        </w:rPr>
        <w:t>2022年</w:t>
      </w:r>
      <w:r>
        <w:rPr>
          <w:rFonts w:hint="eastAsia" w:ascii="仿宋_GB2312" w:hAnsi="仿宋" w:eastAsia="仿宋_GB2312" w:cs="仿宋_GB2312"/>
          <w:sz w:val="32"/>
          <w:szCs w:val="32"/>
          <w:highlight w:val="none"/>
        </w:rPr>
        <w:t>度一般公共预算支出</w:t>
      </w:r>
      <w:r>
        <w:rPr>
          <w:rFonts w:ascii="仿宋_GB2312" w:hAnsi="仿宋" w:eastAsia="仿宋_GB2312" w:cs="仿宋_GB2312"/>
          <w:sz w:val="32"/>
          <w:szCs w:val="32"/>
          <w:highlight w:val="none"/>
        </w:rPr>
        <w:t>23720.25</w:t>
      </w:r>
      <w:r>
        <w:rPr>
          <w:rFonts w:hint="eastAsia" w:ascii="仿宋_GB2312" w:hAnsi="仿宋" w:eastAsia="仿宋_GB2312" w:cs="仿宋_GB2312"/>
          <w:sz w:val="32"/>
          <w:szCs w:val="32"/>
          <w:highlight w:val="none"/>
        </w:rPr>
        <w:t>万元（</w:t>
      </w:r>
      <w:r>
        <w:rPr>
          <w:rFonts w:ascii="仿宋_GB2312" w:hAnsi="仿宋" w:eastAsia="仿宋_GB2312" w:cs="仿宋_GB2312"/>
          <w:sz w:val="32"/>
          <w:szCs w:val="32"/>
          <w:highlight w:val="none"/>
        </w:rPr>
        <w:t>不含市对区转移支付</w:t>
      </w:r>
      <w:r>
        <w:rPr>
          <w:rFonts w:hint="eastAsia" w:ascii="仿宋_GB2312" w:hAnsi="仿宋" w:eastAsia="仿宋_GB2312" w:cs="仿宋_GB2312"/>
          <w:sz w:val="32"/>
          <w:szCs w:val="32"/>
          <w:highlight w:val="none"/>
        </w:rPr>
        <w:t>项目</w:t>
      </w:r>
      <w:r>
        <w:rPr>
          <w:rFonts w:ascii="仿宋_GB2312" w:hAnsi="仿宋" w:eastAsia="仿宋_GB2312" w:cs="仿宋_GB2312"/>
          <w:sz w:val="32"/>
          <w:szCs w:val="32"/>
          <w:highlight w:val="none"/>
        </w:rPr>
        <w:t>）</w:t>
      </w:r>
      <w:r>
        <w:rPr>
          <w:rFonts w:hint="eastAsia" w:ascii="仿宋_GB2312" w:hAnsi="仿宋" w:eastAsia="仿宋_GB2312" w:cs="仿宋_GB2312"/>
          <w:sz w:val="32"/>
          <w:szCs w:val="32"/>
          <w:highlight w:val="none"/>
        </w:rPr>
        <w:t>，比2022年预算数</w:t>
      </w:r>
      <w:r>
        <w:rPr>
          <w:rFonts w:hint="eastAsia" w:ascii="仿宋_GB2312" w:hAnsi="仿宋" w:eastAsia="仿宋_GB2312" w:cs="仿宋_GB2312"/>
          <w:sz w:val="32"/>
          <w:szCs w:val="32"/>
          <w:highlight w:val="none"/>
          <w:lang w:eastAsia="zh-CN"/>
        </w:rPr>
        <w:t>减少</w:t>
      </w:r>
      <w:r>
        <w:rPr>
          <w:rFonts w:hint="eastAsia" w:ascii="仿宋_GB2312" w:hAnsi="仿宋" w:eastAsia="仿宋_GB2312" w:cs="仿宋_GB2312"/>
          <w:sz w:val="32"/>
          <w:szCs w:val="32"/>
          <w:highlight w:val="none"/>
          <w:lang w:val="en-US" w:eastAsia="zh-CN"/>
        </w:rPr>
        <w:t>82.70</w:t>
      </w:r>
      <w:r>
        <w:rPr>
          <w:rFonts w:hint="eastAsia" w:ascii="仿宋_GB2312" w:hAnsi="仿宋" w:eastAsia="仿宋_GB2312" w:cs="仿宋_GB2312"/>
          <w:sz w:val="32"/>
          <w:szCs w:val="32"/>
          <w:highlight w:val="none"/>
        </w:rPr>
        <w:t>万元，</w:t>
      </w:r>
      <w:r>
        <w:rPr>
          <w:rFonts w:hint="eastAsia" w:ascii="仿宋_GB2312" w:hAnsi="仿宋" w:eastAsia="仿宋_GB2312" w:cs="仿宋_GB2312"/>
          <w:sz w:val="32"/>
          <w:szCs w:val="32"/>
          <w:highlight w:val="none"/>
          <w:lang w:eastAsia="zh-CN"/>
        </w:rPr>
        <w:t>减少</w:t>
      </w:r>
      <w:r>
        <w:rPr>
          <w:rFonts w:hint="eastAsia" w:ascii="仿宋_GB2312" w:hAnsi="仿宋" w:eastAsia="仿宋_GB2312" w:cs="仿宋_GB2312"/>
          <w:sz w:val="32"/>
          <w:szCs w:val="32"/>
          <w:highlight w:val="none"/>
          <w:lang w:val="en-US" w:eastAsia="zh-CN"/>
        </w:rPr>
        <w:t>0.3</w:t>
      </w:r>
      <w:r>
        <w:rPr>
          <w:rFonts w:hint="eastAsia" w:ascii="仿宋_GB2312" w:hAnsi="仿宋" w:eastAsia="仿宋_GB2312" w:cs="仿宋_GB2312"/>
          <w:sz w:val="32"/>
          <w:szCs w:val="32"/>
          <w:highlight w:val="none"/>
        </w:rPr>
        <w:t>%，主要是由于</w:t>
      </w:r>
      <w:r>
        <w:rPr>
          <w:rFonts w:hint="eastAsia" w:ascii="仿宋_GB2312" w:hAnsi="仿宋" w:eastAsia="仿宋_GB2312" w:cs="仿宋_GB2312"/>
          <w:sz w:val="32"/>
          <w:szCs w:val="32"/>
          <w:highlight w:val="none"/>
          <w:lang w:eastAsia="zh-CN"/>
        </w:rPr>
        <w:t>一般公共预算项目支出财政拨款部分预算减少</w:t>
      </w:r>
      <w:r>
        <w:rPr>
          <w:rFonts w:hint="eastAsia" w:ascii="仿宋_GB2312" w:hAnsi="仿宋" w:eastAsia="仿宋_GB2312" w:cs="仿宋_GB2312"/>
          <w:sz w:val="32"/>
          <w:szCs w:val="32"/>
          <w:highlight w:val="none"/>
          <w:lang w:val="en-US" w:eastAsia="zh-CN"/>
        </w:rPr>
        <w:t>1044.25万元，人员支出由于教师数量增加且工资调整，因此预算增加1008.07万元，公用支出因特色班减少，因此预算减少46.52万元</w:t>
      </w:r>
      <w:r>
        <w:rPr>
          <w:rFonts w:hint="eastAsia" w:ascii="仿宋_GB2312" w:hAnsi="仿宋" w:eastAsia="仿宋_GB2312" w:cs="仿宋_GB2312"/>
          <w:sz w:val="32"/>
          <w:szCs w:val="32"/>
          <w:highlight w:val="none"/>
        </w:rPr>
        <w:t>。支出项目(按项级科目分类统计)包括：</w:t>
      </w:r>
      <w:r>
        <w:rPr>
          <w:rFonts w:hint="eastAsia" w:ascii="仿宋_GB2312" w:hAnsi="仿宋" w:eastAsia="仿宋_GB2312"/>
          <w:sz w:val="32"/>
          <w:szCs w:val="32"/>
          <w:highlight w:val="none"/>
        </w:rPr>
        <w:t xml:space="preserve"> </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（一）基本支出20623.5</w:t>
      </w:r>
      <w:r>
        <w:rPr>
          <w:rFonts w:hint="eastAsia" w:ascii="仿宋_GB2312" w:hAnsi="仿宋" w:eastAsia="仿宋_GB2312" w:cs="仿宋_GB2312"/>
          <w:sz w:val="32"/>
          <w:szCs w:val="32"/>
          <w:highlight w:val="none"/>
          <w:lang w:val="en-US" w:eastAsia="zh-CN"/>
        </w:rPr>
        <w:t>5万元，其中人员支出17350.69万元，公用支出3272.86万元</w:t>
      </w:r>
      <w:r>
        <w:rPr>
          <w:rFonts w:hint="eastAsia" w:ascii="仿宋_GB2312" w:hAnsi="仿宋" w:eastAsia="仿宋_GB2312" w:cs="仿宋_GB2312"/>
          <w:sz w:val="32"/>
          <w:szCs w:val="32"/>
          <w:highlight w:val="none"/>
        </w:rPr>
        <w:t>。</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（二）项目支出</w:t>
      </w:r>
      <w:r>
        <w:rPr>
          <w:rFonts w:hint="eastAsia" w:ascii="仿宋_GB2312" w:hAnsi="仿宋" w:eastAsia="仿宋_GB2312" w:cs="仿宋_GB2312"/>
          <w:sz w:val="32"/>
          <w:szCs w:val="32"/>
          <w:highlight w:val="none"/>
          <w:lang w:val="en-US" w:eastAsia="zh-CN"/>
        </w:rPr>
        <w:t>3014万元</w:t>
      </w:r>
      <w:r>
        <w:rPr>
          <w:rFonts w:hint="eastAsia" w:ascii="仿宋_GB2312" w:hAnsi="仿宋" w:eastAsia="仿宋_GB2312" w:cs="仿宋_GB2312"/>
          <w:sz w:val="32"/>
          <w:szCs w:val="32"/>
          <w:highlight w:val="none"/>
        </w:rPr>
        <w:t>。</w:t>
      </w:r>
    </w:p>
    <w:p>
      <w:pPr>
        <w:tabs>
          <w:tab w:val="left" w:pos="7513"/>
        </w:tabs>
        <w:adjustRightInd w:val="0"/>
        <w:snapToGrid w:val="0"/>
        <w:spacing w:line="560" w:lineRule="exact"/>
        <w:ind w:firstLine="640" w:firstLineChars="200"/>
        <w:rPr>
          <w:rFonts w:hint="eastAsia" w:ascii="黑体" w:hAnsi="黑体" w:eastAsia="黑体" w:cs="仿宋_GB2312"/>
          <w:sz w:val="32"/>
          <w:szCs w:val="32"/>
          <w:highlight w:val="none"/>
        </w:rPr>
      </w:pPr>
      <w:r>
        <w:rPr>
          <w:rFonts w:hint="eastAsia" w:ascii="黑体" w:hAnsi="黑体" w:eastAsia="黑体" w:cs="仿宋_GB2312"/>
          <w:sz w:val="32"/>
          <w:szCs w:val="32"/>
          <w:highlight w:val="none"/>
        </w:rPr>
        <w:t>三、政府性基金预算</w:t>
      </w:r>
      <w:r>
        <w:rPr>
          <w:rFonts w:hint="eastAsia" w:ascii="黑体" w:hAnsi="黑体" w:eastAsia="黑体" w:cs="仿宋_GB2312"/>
          <w:bCs/>
          <w:sz w:val="32"/>
          <w:szCs w:val="32"/>
          <w:highlight w:val="none"/>
        </w:rPr>
        <w:t>财政拨款</w:t>
      </w:r>
      <w:r>
        <w:rPr>
          <w:rFonts w:hint="eastAsia" w:ascii="黑体" w:hAnsi="黑体" w:eastAsia="黑体" w:cs="仿宋_GB2312"/>
          <w:sz w:val="32"/>
          <w:szCs w:val="32"/>
          <w:highlight w:val="none"/>
        </w:rPr>
        <w:t>支出情况</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202</w:t>
      </w:r>
      <w:r>
        <w:rPr>
          <w:rFonts w:hint="eastAsia" w:ascii="仿宋_GB2312" w:hAnsi="仿宋" w:eastAsia="仿宋_GB2312" w:cs="仿宋_GB2312"/>
          <w:sz w:val="32"/>
          <w:szCs w:val="32"/>
          <w:highlight w:val="none"/>
          <w:lang w:val="en-US" w:eastAsia="zh-CN"/>
        </w:rPr>
        <w:t>3</w:t>
      </w:r>
      <w:r>
        <w:rPr>
          <w:rFonts w:hint="eastAsia" w:ascii="仿宋_GB2312" w:hAnsi="仿宋" w:eastAsia="仿宋_GB2312" w:cs="仿宋_GB2312"/>
          <w:sz w:val="32"/>
          <w:szCs w:val="32"/>
          <w:highlight w:val="none"/>
        </w:rPr>
        <w:t>年度政府性基金支出0万元（</w:t>
      </w:r>
      <w:r>
        <w:rPr>
          <w:rFonts w:ascii="仿宋_GB2312" w:hAnsi="仿宋" w:eastAsia="仿宋_GB2312" w:cs="仿宋_GB2312"/>
          <w:sz w:val="32"/>
          <w:szCs w:val="32"/>
          <w:highlight w:val="none"/>
        </w:rPr>
        <w:t>不含市对区转移支付</w:t>
      </w:r>
      <w:r>
        <w:rPr>
          <w:rFonts w:hint="eastAsia" w:ascii="仿宋_GB2312" w:hAnsi="仿宋" w:eastAsia="仿宋_GB2312" w:cs="仿宋_GB2312"/>
          <w:sz w:val="32"/>
          <w:szCs w:val="32"/>
          <w:highlight w:val="none"/>
        </w:rPr>
        <w:t>项目</w:t>
      </w:r>
      <w:r>
        <w:rPr>
          <w:rFonts w:ascii="仿宋_GB2312" w:hAnsi="仿宋" w:eastAsia="仿宋_GB2312" w:cs="仿宋_GB2312"/>
          <w:sz w:val="32"/>
          <w:szCs w:val="32"/>
          <w:highlight w:val="none"/>
        </w:rPr>
        <w:t>）</w:t>
      </w:r>
      <w:r>
        <w:rPr>
          <w:rFonts w:hint="eastAsia" w:ascii="仿宋_GB2312" w:hAnsi="仿宋" w:eastAsia="仿宋_GB2312" w:cs="仿宋_GB2312"/>
          <w:sz w:val="32"/>
          <w:szCs w:val="32"/>
          <w:highlight w:val="none"/>
        </w:rPr>
        <w:t>，比202</w:t>
      </w:r>
      <w:r>
        <w:rPr>
          <w:rFonts w:hint="eastAsia" w:ascii="仿宋_GB2312" w:hAnsi="仿宋" w:eastAsia="仿宋_GB2312" w:cs="仿宋_GB2312"/>
          <w:sz w:val="32"/>
          <w:szCs w:val="32"/>
          <w:highlight w:val="none"/>
          <w:lang w:val="en-US" w:eastAsia="zh-CN"/>
        </w:rPr>
        <w:t>2</w:t>
      </w:r>
      <w:r>
        <w:rPr>
          <w:rFonts w:hint="eastAsia" w:ascii="仿宋_GB2312" w:hAnsi="仿宋" w:eastAsia="仿宋_GB2312" w:cs="仿宋_GB2312"/>
          <w:sz w:val="32"/>
          <w:szCs w:val="32"/>
          <w:highlight w:val="none"/>
        </w:rPr>
        <w:t xml:space="preserve">年预算数增加（减少）0万元，增长（下降）0%。 </w:t>
      </w:r>
    </w:p>
    <w:p>
      <w:pPr>
        <w:tabs>
          <w:tab w:val="left" w:pos="7513"/>
        </w:tabs>
        <w:adjustRightInd w:val="0"/>
        <w:snapToGrid w:val="0"/>
        <w:spacing w:line="560" w:lineRule="exact"/>
        <w:ind w:firstLine="640" w:firstLineChars="200"/>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四、“三公”经费财政拨款预算情况</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kern w:val="0"/>
          <w:sz w:val="32"/>
          <w:szCs w:val="32"/>
          <w:highlight w:val="none"/>
          <w:lang w:eastAsia="zh-CN"/>
        </w:rPr>
        <w:t>厦门外国语学校</w:t>
      </w:r>
      <w:r>
        <w:rPr>
          <w:rFonts w:hint="eastAsia" w:ascii="仿宋_GB2312" w:hAnsi="仿宋" w:eastAsia="仿宋_GB2312" w:cs="仿宋_GB2312"/>
          <w:kern w:val="0"/>
          <w:sz w:val="32"/>
          <w:szCs w:val="32"/>
          <w:highlight w:val="none"/>
        </w:rPr>
        <w:t>2023年</w:t>
      </w:r>
      <w:r>
        <w:rPr>
          <w:rFonts w:hint="eastAsia" w:ascii="仿宋_GB2312" w:hAnsi="仿宋" w:eastAsia="仿宋_GB2312" w:cs="宋体"/>
          <w:kern w:val="0"/>
          <w:sz w:val="32"/>
          <w:szCs w:val="32"/>
          <w:highlight w:val="none"/>
        </w:rPr>
        <w:t>“三公”经费财政拨款预算数为</w:t>
      </w:r>
      <w:r>
        <w:rPr>
          <w:rFonts w:hint="eastAsia" w:ascii="仿宋_GB2312" w:hAnsi="仿宋" w:eastAsia="仿宋_GB2312" w:cs="仿宋_GB2312"/>
          <w:kern w:val="0"/>
          <w:sz w:val="32"/>
          <w:szCs w:val="32"/>
          <w:highlight w:val="none"/>
          <w:lang w:val="en-US" w:eastAsia="zh-CN"/>
        </w:rPr>
        <w:t>24.35</w:t>
      </w:r>
      <w:r>
        <w:rPr>
          <w:rFonts w:hint="eastAsia" w:ascii="仿宋_GB2312" w:hAnsi="仿宋" w:eastAsia="仿宋_GB2312" w:cs="宋体"/>
          <w:kern w:val="0"/>
          <w:sz w:val="32"/>
          <w:szCs w:val="32"/>
          <w:highlight w:val="none"/>
        </w:rPr>
        <w:t>万元，其中</w:t>
      </w:r>
      <w:r>
        <w:rPr>
          <w:rFonts w:hint="eastAsia" w:ascii="仿宋_GB2312" w:hAnsi="仿宋" w:eastAsia="仿宋_GB2312" w:cs="仿宋_GB2312"/>
          <w:sz w:val="32"/>
          <w:szCs w:val="32"/>
          <w:highlight w:val="none"/>
        </w:rPr>
        <w:t>：因公出国（境）经费</w:t>
      </w:r>
      <w:r>
        <w:rPr>
          <w:rFonts w:hint="eastAsia" w:ascii="仿宋_GB2312" w:hAnsi="仿宋" w:eastAsia="仿宋_GB2312" w:cs="仿宋_GB2312"/>
          <w:sz w:val="32"/>
          <w:szCs w:val="32"/>
          <w:highlight w:val="none"/>
          <w:lang w:val="en-US" w:eastAsia="zh-CN"/>
        </w:rPr>
        <w:t>0</w:t>
      </w:r>
      <w:r>
        <w:rPr>
          <w:rFonts w:hint="eastAsia" w:ascii="仿宋_GB2312" w:hAnsi="仿宋" w:eastAsia="仿宋_GB2312" w:cs="仿宋_GB2312"/>
          <w:sz w:val="32"/>
          <w:szCs w:val="32"/>
          <w:highlight w:val="none"/>
        </w:rPr>
        <w:t>万元，公务接待费</w:t>
      </w:r>
      <w:r>
        <w:rPr>
          <w:rFonts w:hint="eastAsia" w:ascii="仿宋_GB2312" w:hAnsi="仿宋" w:eastAsia="仿宋_GB2312" w:cs="仿宋_GB2312"/>
          <w:sz w:val="32"/>
          <w:szCs w:val="32"/>
          <w:highlight w:val="none"/>
          <w:lang w:val="en-US" w:eastAsia="zh-CN"/>
        </w:rPr>
        <w:t>0.71</w:t>
      </w:r>
      <w:r>
        <w:rPr>
          <w:rFonts w:hint="eastAsia" w:ascii="仿宋_GB2312" w:hAnsi="仿宋" w:eastAsia="仿宋_GB2312" w:cs="仿宋_GB2312"/>
          <w:sz w:val="32"/>
          <w:szCs w:val="32"/>
          <w:highlight w:val="none"/>
        </w:rPr>
        <w:t>万元，公务用车购置及运行费</w:t>
      </w:r>
      <w:r>
        <w:rPr>
          <w:rFonts w:hint="eastAsia" w:ascii="仿宋_GB2312" w:hAnsi="仿宋" w:eastAsia="仿宋_GB2312" w:cs="仿宋_GB2312"/>
          <w:sz w:val="32"/>
          <w:szCs w:val="32"/>
          <w:highlight w:val="none"/>
          <w:lang w:val="en-US" w:eastAsia="zh-CN"/>
        </w:rPr>
        <w:t>23.64</w:t>
      </w:r>
      <w:r>
        <w:rPr>
          <w:rFonts w:hint="eastAsia" w:ascii="仿宋_GB2312" w:hAnsi="仿宋" w:eastAsia="仿宋_GB2312" w:cs="仿宋_GB2312"/>
          <w:sz w:val="32"/>
          <w:szCs w:val="32"/>
          <w:highlight w:val="none"/>
        </w:rPr>
        <w:t>万元。具体情况如下：</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楷体_GB2312" w:hAnsi="仿宋" w:eastAsia="楷体_GB2312" w:cs="仿宋_GB2312"/>
          <w:sz w:val="32"/>
          <w:szCs w:val="32"/>
          <w:highlight w:val="none"/>
        </w:rPr>
        <w:t>（一）因公出国（境）经费</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202</w:t>
      </w:r>
      <w:r>
        <w:rPr>
          <w:rFonts w:hint="eastAsia" w:ascii="仿宋_GB2312" w:hAnsi="仿宋" w:eastAsia="仿宋_GB2312" w:cs="仿宋_GB2312"/>
          <w:sz w:val="32"/>
          <w:szCs w:val="32"/>
          <w:highlight w:val="none"/>
          <w:lang w:val="en-US" w:eastAsia="zh-CN"/>
        </w:rPr>
        <w:t>3</w:t>
      </w:r>
      <w:r>
        <w:rPr>
          <w:rFonts w:hint="eastAsia" w:ascii="仿宋_GB2312" w:hAnsi="仿宋" w:eastAsia="仿宋_GB2312" w:cs="仿宋_GB2312"/>
          <w:sz w:val="32"/>
          <w:szCs w:val="32"/>
          <w:highlight w:val="none"/>
        </w:rPr>
        <w:t>年预算安排0万元。与</w:t>
      </w:r>
      <w:r>
        <w:rPr>
          <w:rFonts w:hint="eastAsia" w:ascii="仿宋_GB2312" w:hAnsi="仿宋" w:eastAsia="仿宋_GB2312" w:cs="宋体"/>
          <w:bCs/>
          <w:sz w:val="32"/>
          <w:szCs w:val="32"/>
          <w:highlight w:val="none"/>
        </w:rPr>
        <w:t>上</w:t>
      </w:r>
      <w:r>
        <w:rPr>
          <w:rFonts w:hint="eastAsia" w:ascii="仿宋_GB2312" w:hAnsi="仿宋" w:eastAsia="仿宋_GB2312" w:cs="仿宋_GB2312"/>
          <w:sz w:val="32"/>
          <w:szCs w:val="32"/>
          <w:highlight w:val="none"/>
        </w:rPr>
        <w:t>年预算相比下降</w:t>
      </w:r>
      <w:r>
        <w:rPr>
          <w:rFonts w:hint="eastAsia" w:ascii="仿宋_GB2312" w:hAnsi="仿宋" w:eastAsia="仿宋_GB2312" w:cs="仿宋_GB2312"/>
          <w:sz w:val="32"/>
          <w:szCs w:val="32"/>
          <w:highlight w:val="none"/>
          <w:lang w:val="en-US" w:eastAsia="zh-CN"/>
        </w:rPr>
        <w:t>0</w:t>
      </w:r>
      <w:r>
        <w:rPr>
          <w:rFonts w:hint="eastAsia" w:ascii="仿宋_GB2312" w:hAnsi="仿宋" w:eastAsia="仿宋_GB2312" w:cs="仿宋_GB2312"/>
          <w:sz w:val="32"/>
          <w:szCs w:val="32"/>
          <w:highlight w:val="none"/>
        </w:rPr>
        <w:t>%，主要原因是:疫情原因无出国（境）计划。</w:t>
      </w:r>
    </w:p>
    <w:p>
      <w:pPr>
        <w:tabs>
          <w:tab w:val="left" w:pos="7513"/>
        </w:tabs>
        <w:adjustRightInd w:val="0"/>
        <w:snapToGrid w:val="0"/>
        <w:spacing w:line="560" w:lineRule="exact"/>
        <w:ind w:firstLine="640" w:firstLineChars="200"/>
        <w:rPr>
          <w:rFonts w:hint="eastAsia" w:ascii="楷体_GB2312" w:hAnsi="仿宋" w:eastAsia="楷体_GB2312" w:cs="仿宋_GB2312"/>
          <w:sz w:val="32"/>
          <w:szCs w:val="32"/>
          <w:highlight w:val="none"/>
        </w:rPr>
      </w:pPr>
      <w:r>
        <w:rPr>
          <w:rFonts w:hint="eastAsia" w:ascii="楷体_GB2312" w:hAnsi="仿宋" w:eastAsia="楷体_GB2312" w:cs="仿宋_GB2312"/>
          <w:sz w:val="32"/>
          <w:szCs w:val="32"/>
          <w:highlight w:val="none"/>
        </w:rPr>
        <w:t>（二）公务接待费</w:t>
      </w:r>
    </w:p>
    <w:p>
      <w:pPr>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宋体"/>
          <w:kern w:val="0"/>
          <w:sz w:val="32"/>
          <w:szCs w:val="32"/>
          <w:highlight w:val="none"/>
        </w:rPr>
        <w:t>2023年预算安排</w:t>
      </w:r>
      <w:r>
        <w:rPr>
          <w:rFonts w:hint="eastAsia" w:ascii="仿宋_GB2312" w:hAnsi="仿宋" w:eastAsia="仿宋_GB2312" w:cs="宋体"/>
          <w:kern w:val="0"/>
          <w:sz w:val="32"/>
          <w:szCs w:val="32"/>
          <w:highlight w:val="none"/>
          <w:lang w:val="en-US" w:eastAsia="zh-CN"/>
        </w:rPr>
        <w:t>0.71</w:t>
      </w:r>
      <w:r>
        <w:rPr>
          <w:rFonts w:hint="eastAsia" w:ascii="仿宋_GB2312" w:hAnsi="仿宋" w:eastAsia="仿宋_GB2312" w:cs="宋体"/>
          <w:kern w:val="0"/>
          <w:sz w:val="32"/>
          <w:szCs w:val="32"/>
          <w:highlight w:val="none"/>
        </w:rPr>
        <w:t>万元。主要用于省外学校来厦交流学校等方面的接待活动。与上年预算</w:t>
      </w:r>
      <w:r>
        <w:rPr>
          <w:rFonts w:hint="eastAsia" w:ascii="仿宋_GB2312" w:hAnsi="仿宋" w:eastAsia="仿宋_GB2312" w:cs="宋体"/>
          <w:kern w:val="0"/>
          <w:sz w:val="32"/>
          <w:szCs w:val="32"/>
          <w:highlight w:val="none"/>
          <w:lang w:eastAsia="zh-CN"/>
        </w:rPr>
        <w:t>（</w:t>
      </w:r>
      <w:r>
        <w:rPr>
          <w:rFonts w:hint="eastAsia" w:ascii="仿宋_GB2312" w:hAnsi="仿宋" w:eastAsia="仿宋_GB2312" w:cs="宋体"/>
          <w:kern w:val="0"/>
          <w:sz w:val="32"/>
          <w:szCs w:val="32"/>
          <w:highlight w:val="none"/>
        </w:rPr>
        <w:t>2022年预算安排0.72万元</w:t>
      </w:r>
      <w:r>
        <w:rPr>
          <w:rFonts w:hint="eastAsia" w:ascii="仿宋_GB2312" w:hAnsi="仿宋" w:eastAsia="仿宋_GB2312" w:cs="宋体"/>
          <w:kern w:val="0"/>
          <w:sz w:val="32"/>
          <w:szCs w:val="32"/>
          <w:highlight w:val="none"/>
          <w:lang w:eastAsia="zh-CN"/>
        </w:rPr>
        <w:t>）</w:t>
      </w:r>
      <w:r>
        <w:rPr>
          <w:rFonts w:hint="eastAsia" w:ascii="仿宋_GB2312" w:hAnsi="仿宋" w:eastAsia="仿宋_GB2312" w:cs="仿宋_GB2312"/>
          <w:sz w:val="32"/>
          <w:szCs w:val="32"/>
          <w:highlight w:val="none"/>
        </w:rPr>
        <w:t>相比下降</w:t>
      </w:r>
      <w:r>
        <w:rPr>
          <w:rFonts w:hint="eastAsia" w:ascii="仿宋_GB2312" w:hAnsi="仿宋" w:eastAsia="仿宋_GB2312" w:cs="仿宋_GB2312"/>
          <w:kern w:val="0"/>
          <w:sz w:val="32"/>
          <w:szCs w:val="32"/>
          <w:highlight w:val="none"/>
          <w:lang w:val="en-US" w:eastAsia="zh-CN"/>
        </w:rPr>
        <w:t>1.38</w:t>
      </w:r>
      <w:r>
        <w:rPr>
          <w:rFonts w:hint="eastAsia" w:ascii="仿宋_GB2312" w:hAnsi="仿宋" w:eastAsia="仿宋_GB2312" w:cs="仿宋_GB2312"/>
          <w:sz w:val="32"/>
          <w:szCs w:val="32"/>
          <w:highlight w:val="none"/>
        </w:rPr>
        <w:t>%，主要原因是:</w:t>
      </w:r>
      <w:r>
        <w:rPr>
          <w:rFonts w:hint="eastAsia" w:ascii="仿宋_GB2312" w:hAnsi="仿宋" w:eastAsia="仿宋_GB2312" w:cs="仿宋_GB2312"/>
          <w:sz w:val="32"/>
          <w:szCs w:val="32"/>
          <w:highlight w:val="none"/>
          <w:lang w:eastAsia="zh-CN"/>
        </w:rPr>
        <w:t>公务接待减少</w:t>
      </w:r>
      <w:r>
        <w:rPr>
          <w:rFonts w:hint="eastAsia" w:ascii="仿宋_GB2312" w:hAnsi="仿宋" w:eastAsia="仿宋_GB2312" w:cs="仿宋_GB2312"/>
          <w:sz w:val="32"/>
          <w:szCs w:val="32"/>
          <w:highlight w:val="none"/>
        </w:rPr>
        <w:t>。</w:t>
      </w:r>
    </w:p>
    <w:p>
      <w:pPr>
        <w:tabs>
          <w:tab w:val="left" w:pos="7513"/>
        </w:tabs>
        <w:adjustRightInd w:val="0"/>
        <w:snapToGrid w:val="0"/>
        <w:spacing w:line="560" w:lineRule="exact"/>
        <w:ind w:firstLine="640" w:firstLineChars="200"/>
        <w:rPr>
          <w:rFonts w:hint="eastAsia" w:ascii="楷体_GB2312" w:hAnsi="仿宋" w:eastAsia="楷体_GB2312" w:cs="仿宋_GB2312"/>
          <w:sz w:val="32"/>
          <w:szCs w:val="32"/>
          <w:highlight w:val="none"/>
        </w:rPr>
      </w:pPr>
      <w:r>
        <w:rPr>
          <w:rFonts w:hint="eastAsia" w:ascii="楷体_GB2312" w:hAnsi="仿宋" w:eastAsia="楷体_GB2312" w:cs="仿宋_GB2312"/>
          <w:sz w:val="32"/>
          <w:szCs w:val="32"/>
          <w:highlight w:val="none"/>
        </w:rPr>
        <w:t>（三）公务用车购置及运行费</w:t>
      </w:r>
    </w:p>
    <w:p>
      <w:pPr>
        <w:tabs>
          <w:tab w:val="left" w:pos="7513"/>
        </w:tabs>
        <w:adjustRightInd w:val="0"/>
        <w:snapToGrid w:val="0"/>
        <w:spacing w:line="560" w:lineRule="exact"/>
        <w:ind w:firstLine="640" w:firstLineChars="200"/>
        <w:rPr>
          <w:rFonts w:hint="eastAsia" w:ascii="仿宋_GB2312" w:hAnsi="仿宋" w:eastAsia="仿宋_GB2312" w:cs="宋体"/>
          <w:kern w:val="0"/>
          <w:sz w:val="32"/>
          <w:szCs w:val="32"/>
          <w:highlight w:val="none"/>
        </w:rPr>
      </w:pPr>
      <w:r>
        <w:rPr>
          <w:rFonts w:hint="eastAsia" w:ascii="仿宋_GB2312" w:hAnsi="仿宋" w:eastAsia="仿宋_GB2312" w:cs="仿宋_GB2312"/>
          <w:kern w:val="0"/>
          <w:sz w:val="32"/>
          <w:szCs w:val="32"/>
          <w:highlight w:val="none"/>
        </w:rPr>
        <w:t>2023年</w:t>
      </w:r>
      <w:r>
        <w:rPr>
          <w:rFonts w:hint="eastAsia" w:ascii="仿宋_GB2312" w:hAnsi="仿宋" w:eastAsia="仿宋_GB2312" w:cs="宋体"/>
          <w:kern w:val="0"/>
          <w:sz w:val="32"/>
          <w:szCs w:val="32"/>
          <w:highlight w:val="none"/>
        </w:rPr>
        <w:t>预算安排</w:t>
      </w:r>
      <w:r>
        <w:rPr>
          <w:rFonts w:hint="eastAsia" w:ascii="仿宋_GB2312" w:hAnsi="仿宋" w:eastAsia="仿宋_GB2312" w:cs="宋体"/>
          <w:kern w:val="0"/>
          <w:sz w:val="32"/>
          <w:szCs w:val="32"/>
          <w:highlight w:val="none"/>
          <w:lang w:val="en-US" w:eastAsia="zh-CN"/>
        </w:rPr>
        <w:t>23.64</w:t>
      </w:r>
      <w:r>
        <w:rPr>
          <w:rFonts w:hint="eastAsia" w:ascii="仿宋_GB2312" w:hAnsi="仿宋" w:eastAsia="仿宋_GB2312" w:cs="宋体"/>
          <w:kern w:val="0"/>
          <w:sz w:val="32"/>
          <w:szCs w:val="32"/>
          <w:highlight w:val="none"/>
        </w:rPr>
        <w:t>万元，其中：公务用车运行费</w:t>
      </w:r>
      <w:r>
        <w:rPr>
          <w:rFonts w:hint="eastAsia" w:ascii="仿宋_GB2312" w:hAnsi="仿宋" w:eastAsia="仿宋_GB2312" w:cs="宋体"/>
          <w:kern w:val="0"/>
          <w:sz w:val="32"/>
          <w:szCs w:val="32"/>
          <w:highlight w:val="none"/>
          <w:lang w:val="en-US" w:eastAsia="zh-CN"/>
        </w:rPr>
        <w:t>23.64</w:t>
      </w:r>
      <w:r>
        <w:rPr>
          <w:rFonts w:hint="eastAsia" w:ascii="仿宋_GB2312" w:hAnsi="仿宋" w:eastAsia="仿宋_GB2312" w:cs="宋体"/>
          <w:kern w:val="0"/>
          <w:sz w:val="32"/>
          <w:szCs w:val="32"/>
          <w:highlight w:val="none"/>
        </w:rPr>
        <w:t>万元，主要用于公务用车燃油、维修、保险等方面支出。与上年预算</w:t>
      </w:r>
      <w:r>
        <w:rPr>
          <w:rFonts w:hint="eastAsia" w:ascii="仿宋_GB2312" w:hAnsi="仿宋" w:eastAsia="仿宋_GB2312" w:cs="宋体"/>
          <w:kern w:val="0"/>
          <w:sz w:val="32"/>
          <w:szCs w:val="32"/>
          <w:highlight w:val="none"/>
          <w:lang w:eastAsia="zh-CN"/>
        </w:rPr>
        <w:t>（</w:t>
      </w:r>
      <w:r>
        <w:rPr>
          <w:rFonts w:hint="eastAsia" w:ascii="仿宋_GB2312" w:hAnsi="仿宋" w:eastAsia="仿宋_GB2312" w:cs="仿宋_GB2312"/>
          <w:kern w:val="0"/>
          <w:sz w:val="32"/>
          <w:szCs w:val="32"/>
          <w:highlight w:val="none"/>
        </w:rPr>
        <w:t>2022年</w:t>
      </w:r>
      <w:r>
        <w:rPr>
          <w:rFonts w:hint="eastAsia" w:ascii="仿宋_GB2312" w:hAnsi="仿宋" w:eastAsia="仿宋_GB2312" w:cs="宋体"/>
          <w:kern w:val="0"/>
          <w:sz w:val="32"/>
          <w:szCs w:val="32"/>
          <w:highlight w:val="none"/>
        </w:rPr>
        <w:t>预算安排</w:t>
      </w:r>
      <w:r>
        <w:rPr>
          <w:rFonts w:ascii="仿宋_GB2312" w:hAnsi="仿宋" w:eastAsia="仿宋_GB2312" w:cs="宋体"/>
          <w:kern w:val="0"/>
          <w:sz w:val="32"/>
          <w:szCs w:val="32"/>
          <w:highlight w:val="none"/>
        </w:rPr>
        <w:t>24.3</w:t>
      </w:r>
      <w:r>
        <w:rPr>
          <w:rFonts w:hint="eastAsia" w:ascii="仿宋_GB2312" w:hAnsi="仿宋" w:eastAsia="仿宋_GB2312" w:cs="宋体"/>
          <w:kern w:val="0"/>
          <w:sz w:val="32"/>
          <w:szCs w:val="32"/>
          <w:highlight w:val="none"/>
        </w:rPr>
        <w:t>万元</w:t>
      </w:r>
      <w:r>
        <w:rPr>
          <w:rFonts w:hint="eastAsia" w:ascii="仿宋_GB2312" w:hAnsi="仿宋" w:eastAsia="仿宋_GB2312" w:cs="宋体"/>
          <w:kern w:val="0"/>
          <w:sz w:val="32"/>
          <w:szCs w:val="32"/>
          <w:highlight w:val="none"/>
          <w:lang w:eastAsia="zh-CN"/>
        </w:rPr>
        <w:t>）</w:t>
      </w:r>
      <w:r>
        <w:rPr>
          <w:rFonts w:hint="eastAsia" w:ascii="仿宋_GB2312" w:hAnsi="仿宋" w:eastAsia="仿宋_GB2312" w:cs="宋体"/>
          <w:kern w:val="0"/>
          <w:sz w:val="32"/>
          <w:szCs w:val="32"/>
          <w:highlight w:val="none"/>
        </w:rPr>
        <w:t>相比</w:t>
      </w:r>
      <w:r>
        <w:rPr>
          <w:rFonts w:hint="eastAsia" w:ascii="仿宋_GB2312" w:hAnsi="仿宋" w:eastAsia="仿宋_GB2312" w:cs="宋体"/>
          <w:kern w:val="0"/>
          <w:sz w:val="32"/>
          <w:szCs w:val="32"/>
          <w:highlight w:val="none"/>
          <w:lang w:eastAsia="zh-CN"/>
        </w:rPr>
        <w:t>减少</w:t>
      </w:r>
      <w:r>
        <w:rPr>
          <w:rFonts w:hint="eastAsia" w:ascii="仿宋_GB2312" w:hAnsi="仿宋" w:eastAsia="仿宋_GB2312" w:cs="宋体"/>
          <w:kern w:val="0"/>
          <w:sz w:val="32"/>
          <w:szCs w:val="32"/>
          <w:highlight w:val="none"/>
          <w:lang w:val="en-US" w:eastAsia="zh-CN"/>
        </w:rPr>
        <w:t>2.71</w:t>
      </w:r>
      <w:r>
        <w:rPr>
          <w:rFonts w:hint="eastAsia" w:ascii="仿宋_GB2312" w:hAnsi="仿宋" w:eastAsia="仿宋_GB2312" w:cs="宋体"/>
          <w:kern w:val="0"/>
          <w:sz w:val="32"/>
          <w:szCs w:val="32"/>
          <w:highlight w:val="none"/>
        </w:rPr>
        <w:t>%，主要原因是:</w:t>
      </w:r>
      <w:r>
        <w:rPr>
          <w:rFonts w:hint="eastAsia" w:ascii="仿宋_GB2312" w:hAnsi="仿宋" w:eastAsia="仿宋_GB2312" w:cs="宋体"/>
          <w:kern w:val="0"/>
          <w:sz w:val="32"/>
          <w:szCs w:val="32"/>
          <w:highlight w:val="none"/>
          <w:lang w:eastAsia="zh-CN"/>
        </w:rPr>
        <w:t>三个校区公务往来需要，公务车运行费用与上年度相比基本持平，略有减少</w:t>
      </w:r>
      <w:r>
        <w:rPr>
          <w:rFonts w:hint="eastAsia" w:ascii="仿宋_GB2312" w:hAnsi="仿宋" w:eastAsia="仿宋_GB2312" w:cs="宋体"/>
          <w:kern w:val="0"/>
          <w:sz w:val="32"/>
          <w:szCs w:val="32"/>
          <w:highlight w:val="none"/>
        </w:rPr>
        <w:t>。</w:t>
      </w:r>
    </w:p>
    <w:p>
      <w:pPr>
        <w:tabs>
          <w:tab w:val="left" w:pos="7513"/>
        </w:tabs>
        <w:adjustRightInd w:val="0"/>
        <w:snapToGrid w:val="0"/>
        <w:spacing w:line="560" w:lineRule="exact"/>
        <w:ind w:firstLine="640" w:firstLineChars="200"/>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rPr>
        <w:t>五、其他重要事项的情况说明</w:t>
      </w:r>
    </w:p>
    <w:p>
      <w:pPr>
        <w:tabs>
          <w:tab w:val="left" w:pos="7513"/>
        </w:tabs>
        <w:adjustRightInd w:val="0"/>
        <w:snapToGrid w:val="0"/>
        <w:spacing w:line="560" w:lineRule="exact"/>
        <w:ind w:firstLine="640" w:firstLineChars="200"/>
        <w:rPr>
          <w:rFonts w:hint="eastAsia" w:ascii="楷体_GB2312" w:hAnsi="仿宋" w:eastAsia="楷体_GB2312" w:cs="仿宋_GB2312"/>
          <w:sz w:val="32"/>
          <w:szCs w:val="32"/>
          <w:highlight w:val="none"/>
        </w:rPr>
      </w:pPr>
      <w:r>
        <w:rPr>
          <w:rFonts w:hint="eastAsia" w:ascii="楷体_GB2312" w:hAnsi="仿宋" w:eastAsia="楷体_GB2312" w:cs="仿宋_GB2312"/>
          <w:sz w:val="32"/>
          <w:szCs w:val="32"/>
          <w:highlight w:val="none"/>
        </w:rPr>
        <w:t>（一）机关运行经费</w:t>
      </w:r>
    </w:p>
    <w:p>
      <w:pPr>
        <w:tabs>
          <w:tab w:val="left" w:pos="7513"/>
        </w:tabs>
        <w:adjustRightInd w:val="0"/>
        <w:snapToGrid w:val="0"/>
        <w:spacing w:line="560" w:lineRule="exact"/>
        <w:ind w:firstLine="640" w:firstLineChars="200"/>
        <w:rPr>
          <w:rFonts w:hint="eastAsia" w:ascii="仿宋_GB2312" w:hAnsi="仿宋" w:eastAsia="仿宋_GB2312" w:cs="宋体"/>
          <w:kern w:val="0"/>
          <w:sz w:val="32"/>
          <w:szCs w:val="32"/>
          <w:highlight w:val="none"/>
        </w:rPr>
      </w:pPr>
      <w:r>
        <w:rPr>
          <w:rFonts w:hint="eastAsia" w:ascii="仿宋_GB2312" w:hAnsi="仿宋" w:eastAsia="仿宋_GB2312" w:cs="宋体"/>
          <w:kern w:val="0"/>
          <w:sz w:val="32"/>
          <w:szCs w:val="32"/>
          <w:highlight w:val="none"/>
        </w:rPr>
        <w:t>202</w:t>
      </w:r>
      <w:r>
        <w:rPr>
          <w:rFonts w:hint="eastAsia" w:ascii="仿宋_GB2312" w:hAnsi="仿宋" w:eastAsia="仿宋_GB2312" w:cs="宋体"/>
          <w:kern w:val="0"/>
          <w:sz w:val="32"/>
          <w:szCs w:val="32"/>
          <w:highlight w:val="none"/>
          <w:lang w:val="en-US" w:eastAsia="zh-CN"/>
        </w:rPr>
        <w:t>3</w:t>
      </w:r>
      <w:r>
        <w:rPr>
          <w:rFonts w:hint="eastAsia" w:ascii="仿宋_GB2312" w:hAnsi="仿宋" w:eastAsia="仿宋_GB2312" w:cs="宋体"/>
          <w:kern w:val="0"/>
          <w:sz w:val="32"/>
          <w:szCs w:val="32"/>
          <w:highlight w:val="none"/>
        </w:rPr>
        <w:t>年厦门外国语学校部门的机关运行经费财政拨款预算0万元，比202</w:t>
      </w:r>
      <w:r>
        <w:rPr>
          <w:rFonts w:hint="eastAsia" w:ascii="仿宋_GB2312" w:hAnsi="仿宋" w:eastAsia="仿宋_GB2312" w:cs="宋体"/>
          <w:kern w:val="0"/>
          <w:sz w:val="32"/>
          <w:szCs w:val="32"/>
          <w:highlight w:val="none"/>
          <w:lang w:val="en-US" w:eastAsia="zh-CN"/>
        </w:rPr>
        <w:t>2</w:t>
      </w:r>
      <w:r>
        <w:rPr>
          <w:rFonts w:hint="eastAsia" w:ascii="仿宋_GB2312" w:hAnsi="仿宋" w:eastAsia="仿宋_GB2312" w:cs="宋体"/>
          <w:kern w:val="0"/>
          <w:sz w:val="32"/>
          <w:szCs w:val="32"/>
          <w:highlight w:val="none"/>
        </w:rPr>
        <w:t>年预算减少（增加）0万元，下降（增长）0%。学校为事业单位，无机关运行经费。</w:t>
      </w:r>
    </w:p>
    <w:p>
      <w:pPr>
        <w:tabs>
          <w:tab w:val="left" w:pos="7513"/>
        </w:tabs>
        <w:adjustRightInd w:val="0"/>
        <w:snapToGrid w:val="0"/>
        <w:spacing w:line="560" w:lineRule="exact"/>
        <w:ind w:firstLine="640" w:firstLineChars="200"/>
        <w:rPr>
          <w:rFonts w:hint="eastAsia" w:ascii="楷体_GB2312" w:hAnsi="仿宋" w:eastAsia="楷体_GB2312" w:cs="仿宋_GB2312"/>
          <w:sz w:val="32"/>
          <w:szCs w:val="32"/>
          <w:highlight w:val="none"/>
        </w:rPr>
      </w:pPr>
      <w:r>
        <w:rPr>
          <w:rFonts w:hint="eastAsia" w:ascii="楷体_GB2312" w:hAnsi="仿宋" w:eastAsia="楷体_GB2312" w:cs="仿宋_GB2312"/>
          <w:sz w:val="32"/>
          <w:szCs w:val="32"/>
          <w:highlight w:val="none"/>
        </w:rPr>
        <w:t>（二）政府采购情况</w:t>
      </w:r>
    </w:p>
    <w:p>
      <w:pPr>
        <w:tabs>
          <w:tab w:val="left" w:pos="7513"/>
        </w:tabs>
        <w:adjustRightInd w:val="0"/>
        <w:snapToGrid w:val="0"/>
        <w:spacing w:line="560" w:lineRule="exact"/>
        <w:ind w:firstLine="640" w:firstLineChars="200"/>
        <w:rPr>
          <w:rFonts w:hint="eastAsia" w:ascii="仿宋_GB2312" w:hAnsi="仿宋" w:eastAsia="仿宋_GB2312" w:cs="宋体"/>
          <w:kern w:val="0"/>
          <w:sz w:val="32"/>
          <w:szCs w:val="32"/>
          <w:highlight w:val="none"/>
        </w:rPr>
      </w:pPr>
      <w:r>
        <w:rPr>
          <w:rFonts w:hint="eastAsia" w:ascii="仿宋_GB2312" w:hAnsi="仿宋" w:eastAsia="仿宋_GB2312" w:cs="宋体"/>
          <w:kern w:val="0"/>
          <w:sz w:val="32"/>
          <w:szCs w:val="32"/>
          <w:highlight w:val="none"/>
        </w:rPr>
        <w:t>202</w:t>
      </w:r>
      <w:r>
        <w:rPr>
          <w:rFonts w:hint="eastAsia" w:ascii="仿宋_GB2312" w:hAnsi="仿宋" w:eastAsia="仿宋_GB2312" w:cs="宋体"/>
          <w:kern w:val="0"/>
          <w:sz w:val="32"/>
          <w:szCs w:val="32"/>
          <w:highlight w:val="none"/>
          <w:lang w:val="en-US" w:eastAsia="zh-CN"/>
        </w:rPr>
        <w:t>3</w:t>
      </w:r>
      <w:r>
        <w:rPr>
          <w:rFonts w:hint="eastAsia" w:ascii="仿宋_GB2312" w:hAnsi="仿宋" w:eastAsia="仿宋_GB2312" w:cs="宋体"/>
          <w:kern w:val="0"/>
          <w:sz w:val="32"/>
          <w:szCs w:val="32"/>
          <w:highlight w:val="none"/>
        </w:rPr>
        <w:t>年</w:t>
      </w:r>
      <w:r>
        <w:rPr>
          <w:rFonts w:hint="eastAsia" w:ascii="仿宋_GB2312" w:hAnsi="宋体" w:eastAsia="仿宋_GB2312" w:cs="宋体"/>
          <w:kern w:val="0"/>
          <w:sz w:val="32"/>
          <w:szCs w:val="32"/>
          <w:highlight w:val="none"/>
        </w:rPr>
        <w:t>厦门外国语学校</w:t>
      </w:r>
      <w:r>
        <w:rPr>
          <w:rFonts w:hint="eastAsia" w:ascii="仿宋_GB2312" w:hAnsi="仿宋" w:eastAsia="仿宋_GB2312" w:cs="宋体"/>
          <w:kern w:val="0"/>
          <w:sz w:val="32"/>
          <w:szCs w:val="32"/>
          <w:highlight w:val="none"/>
        </w:rPr>
        <w:t>政府采购预算总额</w:t>
      </w:r>
      <w:r>
        <w:rPr>
          <w:rFonts w:hint="eastAsia" w:ascii="仿宋_GB2312" w:hAnsi="仿宋" w:eastAsia="仿宋_GB2312" w:cs="宋体"/>
          <w:kern w:val="0"/>
          <w:sz w:val="32"/>
          <w:szCs w:val="32"/>
          <w:highlight w:val="none"/>
          <w:lang w:val="en-US" w:eastAsia="zh-CN"/>
        </w:rPr>
        <w:t>2835.90</w:t>
      </w:r>
      <w:r>
        <w:rPr>
          <w:rFonts w:hint="eastAsia" w:ascii="仿宋_GB2312" w:hAnsi="仿宋" w:eastAsia="仿宋_GB2312" w:cs="宋体"/>
          <w:kern w:val="0"/>
          <w:sz w:val="32"/>
          <w:szCs w:val="32"/>
          <w:highlight w:val="none"/>
        </w:rPr>
        <w:t>万元，其中：政府采购货物预算</w:t>
      </w:r>
      <w:r>
        <w:rPr>
          <w:rFonts w:hint="eastAsia" w:ascii="仿宋_GB2312" w:hAnsi="仿宋" w:eastAsia="仿宋_GB2312" w:cs="宋体"/>
          <w:kern w:val="0"/>
          <w:sz w:val="32"/>
          <w:szCs w:val="32"/>
          <w:highlight w:val="none"/>
          <w:lang w:val="en-US" w:eastAsia="zh-CN"/>
        </w:rPr>
        <w:t>1818.46</w:t>
      </w:r>
      <w:r>
        <w:rPr>
          <w:rFonts w:hint="eastAsia" w:ascii="仿宋_GB2312" w:hAnsi="仿宋" w:eastAsia="仿宋_GB2312" w:cs="宋体"/>
          <w:kern w:val="0"/>
          <w:sz w:val="32"/>
          <w:szCs w:val="32"/>
          <w:highlight w:val="none"/>
        </w:rPr>
        <w:t>万元，政府采购工程预算</w:t>
      </w:r>
      <w:r>
        <w:rPr>
          <w:rFonts w:hint="eastAsia" w:ascii="仿宋_GB2312" w:hAnsi="仿宋" w:eastAsia="仿宋_GB2312" w:cs="宋体"/>
          <w:kern w:val="0"/>
          <w:sz w:val="32"/>
          <w:szCs w:val="32"/>
          <w:highlight w:val="none"/>
          <w:lang w:val="en-US" w:eastAsia="zh-CN"/>
        </w:rPr>
        <w:t>173</w:t>
      </w:r>
      <w:r>
        <w:rPr>
          <w:rFonts w:hint="eastAsia" w:ascii="仿宋_GB2312" w:hAnsi="仿宋" w:eastAsia="仿宋_GB2312" w:cs="宋体"/>
          <w:kern w:val="0"/>
          <w:sz w:val="32"/>
          <w:szCs w:val="32"/>
          <w:highlight w:val="none"/>
        </w:rPr>
        <w:t>万元，政府采购服务预算</w:t>
      </w:r>
      <w:r>
        <w:rPr>
          <w:rFonts w:hint="eastAsia" w:ascii="仿宋_GB2312" w:hAnsi="仿宋" w:eastAsia="仿宋_GB2312" w:cs="宋体"/>
          <w:kern w:val="0"/>
          <w:sz w:val="32"/>
          <w:szCs w:val="32"/>
          <w:highlight w:val="none"/>
          <w:lang w:val="en-US" w:eastAsia="zh-CN"/>
        </w:rPr>
        <w:t>844.44</w:t>
      </w:r>
      <w:r>
        <w:rPr>
          <w:rFonts w:hint="eastAsia" w:ascii="仿宋_GB2312" w:hAnsi="仿宋" w:eastAsia="仿宋_GB2312" w:cs="宋体"/>
          <w:kern w:val="0"/>
          <w:sz w:val="32"/>
          <w:szCs w:val="32"/>
          <w:highlight w:val="none"/>
        </w:rPr>
        <w:t>万元。</w:t>
      </w:r>
    </w:p>
    <w:p>
      <w:pPr>
        <w:tabs>
          <w:tab w:val="left" w:pos="7513"/>
        </w:tabs>
        <w:adjustRightInd w:val="0"/>
        <w:snapToGrid w:val="0"/>
        <w:spacing w:line="560" w:lineRule="exact"/>
        <w:ind w:firstLine="640" w:firstLineChars="200"/>
        <w:rPr>
          <w:rFonts w:hint="eastAsia" w:ascii="楷体_GB2312" w:hAnsi="仿宋" w:eastAsia="楷体_GB2312" w:cs="仿宋_GB2312"/>
          <w:sz w:val="32"/>
          <w:szCs w:val="32"/>
          <w:highlight w:val="none"/>
        </w:rPr>
      </w:pPr>
      <w:r>
        <w:rPr>
          <w:rFonts w:hint="eastAsia" w:ascii="楷体_GB2312" w:hAnsi="仿宋" w:eastAsia="楷体_GB2312" w:cs="仿宋_GB2312"/>
          <w:sz w:val="32"/>
          <w:szCs w:val="32"/>
          <w:highlight w:val="none"/>
        </w:rPr>
        <w:t>（三）国有资产占有使用情况</w:t>
      </w:r>
    </w:p>
    <w:p>
      <w:pPr>
        <w:tabs>
          <w:tab w:val="left" w:pos="7513"/>
        </w:tabs>
        <w:adjustRightInd w:val="0"/>
        <w:snapToGrid w:val="0"/>
        <w:spacing w:line="560" w:lineRule="exact"/>
        <w:ind w:firstLine="640" w:firstLineChars="200"/>
        <w:rPr>
          <w:rFonts w:hint="eastAsia" w:ascii="仿宋_GB2312" w:hAnsi="仿宋" w:eastAsia="仿宋_GB2312" w:cs="宋体"/>
          <w:kern w:val="0"/>
          <w:sz w:val="32"/>
          <w:szCs w:val="32"/>
          <w:highlight w:val="none"/>
        </w:rPr>
      </w:pPr>
      <w:r>
        <w:rPr>
          <w:rFonts w:hint="eastAsia" w:ascii="仿宋_GB2312" w:hAnsi="宋体" w:eastAsia="仿宋_GB2312" w:cs="宋体"/>
          <w:kern w:val="0"/>
          <w:sz w:val="32"/>
          <w:szCs w:val="32"/>
          <w:highlight w:val="none"/>
        </w:rPr>
        <w:t>截</w:t>
      </w:r>
      <w:r>
        <w:rPr>
          <w:rFonts w:hint="eastAsia" w:ascii="仿宋_GB2312" w:hAnsi="仿宋" w:eastAsia="仿宋_GB2312" w:cs="仿宋_GB2312"/>
          <w:sz w:val="32"/>
          <w:szCs w:val="32"/>
          <w:highlight w:val="none"/>
        </w:rPr>
        <w:t>至202</w:t>
      </w:r>
      <w:r>
        <w:rPr>
          <w:rFonts w:hint="eastAsia" w:ascii="仿宋_GB2312" w:hAnsi="仿宋" w:eastAsia="仿宋_GB2312" w:cs="仿宋_GB2312"/>
          <w:sz w:val="32"/>
          <w:szCs w:val="32"/>
          <w:highlight w:val="none"/>
          <w:lang w:val="en-US" w:eastAsia="zh-CN"/>
        </w:rPr>
        <w:t>2</w:t>
      </w:r>
      <w:r>
        <w:rPr>
          <w:rFonts w:hint="eastAsia" w:ascii="仿宋_GB2312" w:hAnsi="仿宋" w:eastAsia="仿宋_GB2312" w:cs="仿宋_GB2312"/>
          <w:sz w:val="32"/>
          <w:szCs w:val="32"/>
          <w:highlight w:val="none"/>
        </w:rPr>
        <w:t>年12月31日，厦门外国语学校部门所属各预算单位共有车辆6辆，</w:t>
      </w:r>
      <w:r>
        <w:rPr>
          <w:rFonts w:ascii="仿宋_GB2312" w:hAnsi="仿宋" w:eastAsia="仿宋_GB2312" w:cs="仿宋_GB2312"/>
          <w:sz w:val="32"/>
          <w:szCs w:val="32"/>
          <w:highlight w:val="none"/>
        </w:rPr>
        <w:t>单位价值50万以上通用设备</w:t>
      </w:r>
      <w:r>
        <w:rPr>
          <w:rFonts w:hint="eastAsia" w:ascii="仿宋_GB2312" w:hAnsi="仿宋" w:eastAsia="仿宋_GB2312" w:cs="仿宋_GB2312"/>
          <w:sz w:val="32"/>
          <w:szCs w:val="32"/>
          <w:highlight w:val="none"/>
        </w:rPr>
        <w:t>0</w:t>
      </w:r>
      <w:r>
        <w:rPr>
          <w:rFonts w:ascii="仿宋_GB2312" w:hAnsi="仿宋" w:eastAsia="仿宋_GB2312" w:cs="仿宋_GB2312"/>
          <w:sz w:val="32"/>
          <w:szCs w:val="32"/>
          <w:highlight w:val="none"/>
        </w:rPr>
        <w:t>台（套）</w:t>
      </w:r>
      <w:r>
        <w:rPr>
          <w:rFonts w:hint="eastAsia" w:ascii="仿宋_GB2312" w:hAnsi="仿宋" w:eastAsia="仿宋_GB2312" w:cs="仿宋_GB2312"/>
          <w:sz w:val="32"/>
          <w:szCs w:val="32"/>
          <w:highlight w:val="none"/>
        </w:rPr>
        <w:t>，</w:t>
      </w:r>
      <w:r>
        <w:rPr>
          <w:rFonts w:ascii="仿宋_GB2312" w:hAnsi="仿宋" w:eastAsia="仿宋_GB2312" w:cs="仿宋_GB2312"/>
          <w:sz w:val="32"/>
          <w:szCs w:val="32"/>
          <w:highlight w:val="none"/>
        </w:rPr>
        <w:t>单位价值100万以上专用设备</w:t>
      </w:r>
      <w:r>
        <w:rPr>
          <w:rFonts w:hint="eastAsia" w:ascii="仿宋_GB2312" w:hAnsi="仿宋" w:eastAsia="仿宋_GB2312" w:cs="仿宋_GB2312"/>
          <w:sz w:val="32"/>
          <w:szCs w:val="32"/>
          <w:highlight w:val="none"/>
        </w:rPr>
        <w:t>0</w:t>
      </w:r>
      <w:r>
        <w:rPr>
          <w:rFonts w:ascii="仿宋_GB2312" w:hAnsi="仿宋" w:eastAsia="仿宋_GB2312" w:cs="仿宋_GB2312"/>
          <w:sz w:val="32"/>
          <w:szCs w:val="32"/>
          <w:highlight w:val="none"/>
        </w:rPr>
        <w:t>台（套）</w:t>
      </w:r>
      <w:r>
        <w:rPr>
          <w:rFonts w:hint="eastAsia" w:ascii="仿宋_GB2312" w:hAnsi="仿宋" w:eastAsia="仿宋_GB2312" w:cs="仿宋_GB2312"/>
          <w:sz w:val="32"/>
          <w:szCs w:val="32"/>
          <w:highlight w:val="none"/>
        </w:rPr>
        <w:t>。</w:t>
      </w:r>
    </w:p>
    <w:p>
      <w:pPr>
        <w:tabs>
          <w:tab w:val="left" w:pos="7513"/>
        </w:tabs>
        <w:adjustRightInd w:val="0"/>
        <w:snapToGrid w:val="0"/>
        <w:spacing w:line="560" w:lineRule="exact"/>
        <w:ind w:firstLine="640" w:firstLineChars="200"/>
        <w:rPr>
          <w:rFonts w:hint="eastAsia" w:ascii="楷体_GB2312" w:hAnsi="仿宋" w:eastAsia="楷体_GB2312" w:cs="仿宋_GB2312"/>
          <w:sz w:val="32"/>
          <w:szCs w:val="32"/>
          <w:highlight w:val="none"/>
        </w:rPr>
      </w:pPr>
      <w:r>
        <w:rPr>
          <w:rFonts w:hint="eastAsia" w:ascii="楷体_GB2312" w:hAnsi="仿宋" w:eastAsia="楷体_GB2312" w:cs="仿宋_GB2312"/>
          <w:sz w:val="32"/>
          <w:szCs w:val="32"/>
          <w:highlight w:val="none"/>
        </w:rPr>
        <w:t>（四）绩效目标设置情况</w:t>
      </w:r>
    </w:p>
    <w:p>
      <w:pPr>
        <w:tabs>
          <w:tab w:val="left" w:pos="7513"/>
        </w:tabs>
        <w:adjustRightInd w:val="0"/>
        <w:snapToGrid w:val="0"/>
        <w:spacing w:line="560" w:lineRule="exact"/>
        <w:ind w:firstLine="640" w:firstLineChars="200"/>
        <w:rPr>
          <w:rFonts w:hint="eastAsia" w:ascii="仿宋_GB2312" w:hAnsi="仿宋" w:eastAsia="仿宋_GB2312" w:cs="宋体"/>
          <w:kern w:val="0"/>
          <w:sz w:val="32"/>
          <w:szCs w:val="32"/>
          <w:highlight w:val="none"/>
        </w:rPr>
      </w:pPr>
      <w:r>
        <w:rPr>
          <w:rFonts w:hint="eastAsia" w:ascii="仿宋_GB2312" w:hAnsi="仿宋" w:eastAsia="仿宋_GB2312" w:cs="仿宋_GB2312"/>
          <w:sz w:val="32"/>
          <w:szCs w:val="32"/>
          <w:highlight w:val="none"/>
        </w:rPr>
        <w:t>厦门外国语学校</w:t>
      </w:r>
      <w:r>
        <w:rPr>
          <w:rFonts w:hint="eastAsia" w:ascii="仿宋_GB2312" w:hAnsi="宋体" w:eastAsia="仿宋_GB2312" w:cs="宋体"/>
          <w:kern w:val="0"/>
          <w:sz w:val="32"/>
          <w:szCs w:val="32"/>
          <w:highlight w:val="none"/>
        </w:rPr>
        <w:t>2023年实行绩效目标管理的二级项目</w:t>
      </w:r>
      <w:r>
        <w:rPr>
          <w:rFonts w:hint="eastAsia" w:ascii="仿宋_GB2312" w:hAnsi="宋体" w:eastAsia="仿宋_GB2312" w:cs="宋体"/>
          <w:kern w:val="0"/>
          <w:sz w:val="32"/>
          <w:szCs w:val="32"/>
          <w:highlight w:val="none"/>
          <w:lang w:val="en-US" w:eastAsia="zh-CN"/>
        </w:rPr>
        <w:t>6</w:t>
      </w:r>
      <w:r>
        <w:rPr>
          <w:rFonts w:hint="eastAsia" w:ascii="仿宋_GB2312" w:hAnsi="宋体" w:eastAsia="仿宋_GB2312" w:cs="宋体"/>
          <w:kern w:val="0"/>
          <w:sz w:val="32"/>
          <w:szCs w:val="32"/>
          <w:highlight w:val="none"/>
        </w:rPr>
        <w:t>个，涉及一般公共预算拨款</w:t>
      </w:r>
      <w:r>
        <w:rPr>
          <w:rFonts w:hint="eastAsia" w:ascii="仿宋_GB2312" w:hAnsi="宋体" w:eastAsia="仿宋_GB2312" w:cs="宋体"/>
          <w:kern w:val="0"/>
          <w:sz w:val="32"/>
          <w:szCs w:val="32"/>
          <w:highlight w:val="none"/>
          <w:lang w:val="en-US" w:eastAsia="zh-CN"/>
        </w:rPr>
        <w:t>3014</w:t>
      </w:r>
      <w:r>
        <w:rPr>
          <w:rFonts w:hint="eastAsia" w:ascii="仿宋_GB2312" w:hAnsi="宋体" w:eastAsia="仿宋_GB2312" w:cs="宋体"/>
          <w:kern w:val="0"/>
          <w:sz w:val="32"/>
          <w:szCs w:val="32"/>
          <w:highlight w:val="none"/>
        </w:rPr>
        <w:t>万元、</w:t>
      </w:r>
      <w:r>
        <w:rPr>
          <w:rFonts w:ascii="仿宋_GB2312" w:hAnsi="宋体" w:eastAsia="仿宋_GB2312" w:cs="宋体"/>
          <w:kern w:val="0"/>
          <w:sz w:val="32"/>
          <w:szCs w:val="32"/>
          <w:highlight w:val="none"/>
        </w:rPr>
        <w:t>政府性基金预算拨款</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w:t>
      </w:r>
    </w:p>
    <w:p>
      <w:pPr>
        <w:tabs>
          <w:tab w:val="left" w:pos="7513"/>
        </w:tabs>
        <w:adjustRightInd w:val="0"/>
        <w:snapToGrid w:val="0"/>
        <w:spacing w:line="560" w:lineRule="exact"/>
        <w:jc w:val="center"/>
        <w:rPr>
          <w:rFonts w:hint="eastAsia" w:ascii="黑体" w:hAnsi="黑体" w:eastAsia="黑体"/>
          <w:sz w:val="32"/>
          <w:szCs w:val="32"/>
          <w:highlight w:val="none"/>
        </w:rPr>
      </w:pPr>
      <w:r>
        <w:rPr>
          <w:rFonts w:hint="eastAsia" w:ascii="黑体" w:hAnsi="黑体" w:eastAsia="黑体"/>
          <w:sz w:val="32"/>
          <w:szCs w:val="32"/>
          <w:highlight w:val="none"/>
        </w:rPr>
        <w:t>第三部分  名词解释</w:t>
      </w:r>
    </w:p>
    <w:p>
      <w:pPr>
        <w:tabs>
          <w:tab w:val="left" w:pos="7513"/>
        </w:tabs>
        <w:adjustRightInd w:val="0"/>
        <w:snapToGrid w:val="0"/>
        <w:spacing w:line="560" w:lineRule="exact"/>
        <w:ind w:firstLine="640" w:firstLineChars="200"/>
        <w:rPr>
          <w:rFonts w:hint="eastAsia" w:ascii="仿宋_GB2312" w:hAnsi="仿宋" w:eastAsia="仿宋_GB2312" w:cs="宋体"/>
          <w:kern w:val="0"/>
          <w:sz w:val="32"/>
          <w:szCs w:val="32"/>
          <w:highlight w:val="none"/>
        </w:rPr>
      </w:pPr>
      <w:r>
        <w:rPr>
          <w:rFonts w:hint="eastAsia" w:ascii="楷体_GB2312" w:hAnsi="仿宋" w:eastAsia="楷体_GB2312" w:cs="仿宋_GB2312"/>
          <w:sz w:val="32"/>
          <w:szCs w:val="32"/>
          <w:highlight w:val="none"/>
        </w:rPr>
        <w:t>一、基本支出</w:t>
      </w:r>
      <w:r>
        <w:rPr>
          <w:rFonts w:hint="eastAsia" w:ascii="楷体_GB2312" w:hAnsi="仿宋" w:eastAsia="楷体_GB2312" w:cs="宋体"/>
          <w:kern w:val="0"/>
          <w:sz w:val="32"/>
          <w:szCs w:val="32"/>
          <w:highlight w:val="none"/>
        </w:rPr>
        <w:t>：</w:t>
      </w:r>
      <w:r>
        <w:rPr>
          <w:rFonts w:hint="eastAsia" w:ascii="仿宋_GB2312" w:hAnsi="仿宋" w:eastAsia="仿宋_GB2312" w:cs="宋体"/>
          <w:kern w:val="0"/>
          <w:sz w:val="32"/>
          <w:szCs w:val="32"/>
          <w:highlight w:val="none"/>
        </w:rPr>
        <w:t>指为保障机构正常运转、完成日常工作任务而发生的人员支出、对个人和家庭的补助支出和公用支出。</w:t>
      </w:r>
    </w:p>
    <w:p>
      <w:pPr>
        <w:tabs>
          <w:tab w:val="left" w:pos="7513"/>
        </w:tabs>
        <w:adjustRightInd w:val="0"/>
        <w:snapToGrid w:val="0"/>
        <w:spacing w:line="560" w:lineRule="exact"/>
        <w:ind w:firstLine="640" w:firstLineChars="200"/>
        <w:rPr>
          <w:rFonts w:hint="eastAsia" w:ascii="仿宋_GB2312" w:hAnsi="仿宋" w:eastAsia="仿宋_GB2312" w:cs="宋体"/>
          <w:kern w:val="0"/>
          <w:sz w:val="32"/>
          <w:szCs w:val="32"/>
          <w:highlight w:val="none"/>
        </w:rPr>
      </w:pPr>
      <w:r>
        <w:rPr>
          <w:rFonts w:hint="eastAsia" w:ascii="楷体_GB2312" w:hAnsi="仿宋" w:eastAsia="楷体_GB2312" w:cs="仿宋_GB2312"/>
          <w:sz w:val="32"/>
          <w:szCs w:val="32"/>
          <w:highlight w:val="none"/>
        </w:rPr>
        <w:t>二、项目支出</w:t>
      </w:r>
      <w:r>
        <w:rPr>
          <w:rFonts w:hint="eastAsia" w:ascii="楷体_GB2312" w:hAnsi="仿宋" w:eastAsia="楷体_GB2312" w:cs="宋体"/>
          <w:kern w:val="0"/>
          <w:sz w:val="32"/>
          <w:szCs w:val="32"/>
          <w:highlight w:val="none"/>
        </w:rPr>
        <w:t>：</w:t>
      </w:r>
      <w:r>
        <w:rPr>
          <w:rFonts w:hint="eastAsia" w:ascii="仿宋_GB2312" w:hAnsi="仿宋" w:eastAsia="仿宋_GB2312" w:cs="宋体"/>
          <w:kern w:val="0"/>
          <w:sz w:val="32"/>
          <w:szCs w:val="32"/>
          <w:highlight w:val="none"/>
        </w:rPr>
        <w:t>指在基本支出之外为完成特定行政任务和事业发展目标所发生的支出，</w:t>
      </w:r>
      <w:r>
        <w:rPr>
          <w:rFonts w:hint="eastAsia" w:ascii="仿宋_GB2312" w:hAnsi="仿宋" w:eastAsia="仿宋_GB2312"/>
          <w:sz w:val="32"/>
          <w:szCs w:val="32"/>
          <w:highlight w:val="none"/>
        </w:rPr>
        <w:t>包括部门专项、发展经费和基建项目。</w:t>
      </w:r>
    </w:p>
    <w:p>
      <w:pPr>
        <w:tabs>
          <w:tab w:val="left" w:pos="7513"/>
        </w:tabs>
        <w:adjustRightInd w:val="0"/>
        <w:snapToGrid w:val="0"/>
        <w:spacing w:line="560" w:lineRule="exact"/>
        <w:ind w:firstLine="640" w:firstLineChars="200"/>
        <w:rPr>
          <w:rFonts w:hint="eastAsia" w:ascii="仿宋_GB2312" w:hAnsi="仿宋" w:eastAsia="仿宋_GB2312" w:cs="宋体"/>
          <w:color w:val="auto"/>
          <w:kern w:val="0"/>
          <w:sz w:val="32"/>
          <w:szCs w:val="32"/>
          <w:highlight w:val="none"/>
        </w:rPr>
      </w:pPr>
      <w:r>
        <w:rPr>
          <w:rFonts w:hint="eastAsia" w:ascii="楷体_GB2312" w:hAnsi="仿宋" w:eastAsia="楷体_GB2312" w:cs="仿宋_GB2312"/>
          <w:sz w:val="32"/>
          <w:szCs w:val="32"/>
          <w:highlight w:val="none"/>
        </w:rPr>
        <w:t>三、“三公”经费</w:t>
      </w:r>
      <w:r>
        <w:rPr>
          <w:rFonts w:hint="eastAsia" w:ascii="楷体_GB2312" w:hAnsi="仿宋" w:eastAsia="楷体_GB2312" w:cs="宋体"/>
          <w:kern w:val="0"/>
          <w:sz w:val="32"/>
          <w:szCs w:val="32"/>
          <w:highlight w:val="none"/>
        </w:rPr>
        <w:t>：</w:t>
      </w:r>
      <w:r>
        <w:rPr>
          <w:rFonts w:hint="eastAsia" w:ascii="仿宋_GB2312" w:hAnsi="仿宋" w:eastAsia="仿宋_GB2312" w:cs="宋体"/>
          <w:kern w:val="0"/>
          <w:sz w:val="32"/>
          <w:szCs w:val="32"/>
          <w:highlight w:val="none"/>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w:t>
      </w:r>
      <w:r>
        <w:rPr>
          <w:rFonts w:hint="eastAsia" w:ascii="仿宋_GB2312" w:hAnsi="仿宋" w:eastAsia="仿宋_GB2312" w:cs="宋体"/>
          <w:color w:val="auto"/>
          <w:kern w:val="0"/>
          <w:sz w:val="32"/>
          <w:szCs w:val="32"/>
          <w:highlight w:val="none"/>
        </w:rPr>
        <w:t>；公务用车购置及运行费反映单位公务用车车辆购置支出（含车辆购置税、牌照费）、燃料费、维修费、过路过桥费、保险费、安全奖励费用等支出；公务接待费反映单位按规定开支的各类公务接待（含外宾接待）支出。</w:t>
      </w:r>
    </w:p>
    <w:p>
      <w:pPr>
        <w:tabs>
          <w:tab w:val="left" w:pos="7513"/>
        </w:tabs>
        <w:adjustRightInd w:val="0"/>
        <w:snapToGrid w:val="0"/>
        <w:spacing w:line="560" w:lineRule="exact"/>
        <w:ind w:firstLine="640" w:firstLineChars="200"/>
        <w:rPr>
          <w:rFonts w:hint="eastAsia" w:ascii="仿宋_GB2312" w:hAnsi="仿宋" w:eastAsia="仿宋_GB2312" w:cs="宋体"/>
          <w:kern w:val="0"/>
          <w:sz w:val="32"/>
          <w:szCs w:val="32"/>
          <w:highlight w:val="none"/>
        </w:rPr>
      </w:pPr>
      <w:r>
        <w:rPr>
          <w:rFonts w:hint="eastAsia" w:ascii="楷体_GB2312" w:hAnsi="仿宋" w:eastAsia="楷体_GB2312" w:cs="仿宋_GB2312"/>
          <w:color w:val="auto"/>
          <w:sz w:val="32"/>
          <w:szCs w:val="32"/>
          <w:highlight w:val="none"/>
        </w:rPr>
        <w:t>四、机关运行经费</w:t>
      </w:r>
      <w:r>
        <w:rPr>
          <w:rFonts w:hint="eastAsia" w:ascii="楷体_GB2312" w:hAnsi="仿宋" w:eastAsia="楷体_GB2312" w:cs="宋体"/>
          <w:color w:val="auto"/>
          <w:kern w:val="0"/>
          <w:sz w:val="32"/>
          <w:szCs w:val="32"/>
          <w:highlight w:val="none"/>
        </w:rPr>
        <w:t>：</w:t>
      </w:r>
      <w:r>
        <w:rPr>
          <w:rFonts w:hint="eastAsia" w:ascii="仿宋_GB2312" w:hAnsi="仿宋" w:eastAsia="仿宋_GB2312" w:cs="宋体"/>
          <w:color w:val="auto"/>
          <w:kern w:val="0"/>
          <w:sz w:val="32"/>
          <w:szCs w:val="32"/>
          <w:highlight w:val="none"/>
        </w:rPr>
        <w:t>为保障行政单位（包括参照公务员法管理的事业单位）运行用于购买货物和服务的各项资金，包括</w:t>
      </w:r>
      <w:r>
        <w:rPr>
          <w:rFonts w:hint="eastAsia" w:ascii="仿宋_GB2312" w:hAnsi="仿宋" w:eastAsia="仿宋_GB2312" w:cs="宋体"/>
          <w:kern w:val="0"/>
          <w:sz w:val="32"/>
          <w:szCs w:val="32"/>
          <w:highlight w:val="none"/>
        </w:rPr>
        <w:t>办公及印刷费、邮电费、差旅费、会议费、福利费、日常维修费、专用材料及一般设备购置费、办公用房水电费、办公用房物业管理费、公务用车运行维护费以及其他费用。</w:t>
      </w:r>
    </w:p>
    <w:p>
      <w:pPr>
        <w:tabs>
          <w:tab w:val="left" w:pos="7513"/>
        </w:tabs>
        <w:adjustRightInd w:val="0"/>
        <w:snapToGrid w:val="0"/>
        <w:spacing w:line="560" w:lineRule="exact"/>
        <w:ind w:firstLine="640" w:firstLineChars="200"/>
        <w:rPr>
          <w:rFonts w:hint="eastAsia" w:ascii="仿宋_GB2312" w:hAnsi="仿宋" w:eastAsia="仿宋_GB2312" w:cs="宋体"/>
          <w:kern w:val="0"/>
          <w:sz w:val="32"/>
          <w:szCs w:val="32"/>
          <w:highlight w:val="none"/>
        </w:rPr>
      </w:pPr>
      <w:r>
        <w:rPr>
          <w:rFonts w:hint="eastAsia" w:ascii="楷体_GB2312" w:hAnsi="仿宋" w:eastAsia="楷体_GB2312" w:cs="仿宋_GB2312"/>
          <w:sz w:val="32"/>
          <w:szCs w:val="32"/>
          <w:highlight w:val="none"/>
        </w:rPr>
        <w:t>五、其他名词解释</w:t>
      </w:r>
      <w:r>
        <w:rPr>
          <w:rFonts w:hint="eastAsia" w:ascii="仿宋_GB2312" w:hAnsi="仿宋" w:eastAsia="仿宋_GB2312" w:cs="仿宋_GB2312"/>
          <w:sz w:val="32"/>
          <w:szCs w:val="32"/>
          <w:highlight w:val="none"/>
        </w:rPr>
        <w:t>。由各单位根据实际情况予以增加说明。</w:t>
      </w:r>
    </w:p>
    <w:p>
      <w:pPr>
        <w:tabs>
          <w:tab w:val="left" w:pos="7513"/>
        </w:tabs>
        <w:adjustRightInd w:val="0"/>
        <w:snapToGrid w:val="0"/>
        <w:spacing w:line="560" w:lineRule="exact"/>
        <w:jc w:val="center"/>
        <w:rPr>
          <w:rFonts w:hint="eastAsia" w:ascii="黑体" w:hAnsi="黑体" w:eastAsia="黑体"/>
          <w:sz w:val="32"/>
          <w:szCs w:val="32"/>
          <w:highlight w:val="none"/>
        </w:rPr>
      </w:pPr>
      <w:r>
        <w:rPr>
          <w:rFonts w:hint="eastAsia" w:ascii="黑体" w:hAnsi="黑体" w:eastAsia="黑体"/>
          <w:sz w:val="32"/>
          <w:szCs w:val="32"/>
          <w:highlight w:val="none"/>
        </w:rPr>
        <w:t>第四部分  2023年单位预算附表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一、部门收支预算总体情况表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二、部门收入预算总体情况表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三、部门支出预算总体情况表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四、财政拨款收支预算总体情况表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五、一般公共预算支出情况表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六、一般公共预算基本支出情况表（经济分类款级科目）</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七、一般公共预算“三公”经费支出情况表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八、政府性基金预算支出情况表</w:t>
      </w:r>
    </w:p>
    <w:p>
      <w:pPr>
        <w:shd w:val="clear" w:color="auto" w:fill="FFFFFF"/>
        <w:tabs>
          <w:tab w:val="left" w:pos="7513"/>
        </w:tabs>
        <w:adjustRightInd w:val="0"/>
        <w:snapToGrid w:val="0"/>
        <w:spacing w:line="560" w:lineRule="exact"/>
        <w:ind w:firstLine="640" w:firstLineChars="200"/>
        <w:rPr>
          <w:rFonts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九、市对区转移支付支出预算表</w:t>
      </w:r>
    </w:p>
    <w:p>
      <w:pPr>
        <w:shd w:val="clear" w:color="auto" w:fill="FFFFFF"/>
        <w:tabs>
          <w:tab w:val="left" w:pos="7513"/>
        </w:tabs>
        <w:adjustRightInd w:val="0"/>
        <w:snapToGrid w:val="0"/>
        <w:spacing w:line="56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十、二级项目绩效目标表</w:t>
      </w:r>
    </w:p>
    <w:sectPr>
      <w:footerReference r:id="rId3" w:type="default"/>
      <w:pgSz w:w="11906" w:h="16838"/>
      <w:pgMar w:top="1440" w:right="1558"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mNTFmYTE5M2Q2N2JjZWJhYzRmNjQ2YTM5NjBiMjIifQ=="/>
  </w:docVars>
  <w:rsids>
    <w:rsidRoot w:val="00927856"/>
    <w:rsid w:val="00001E78"/>
    <w:rsid w:val="00014BC8"/>
    <w:rsid w:val="00017205"/>
    <w:rsid w:val="000202BF"/>
    <w:rsid w:val="000210D1"/>
    <w:rsid w:val="0005340A"/>
    <w:rsid w:val="000579BF"/>
    <w:rsid w:val="00064213"/>
    <w:rsid w:val="00067E77"/>
    <w:rsid w:val="00071064"/>
    <w:rsid w:val="00084296"/>
    <w:rsid w:val="00087AE7"/>
    <w:rsid w:val="00095DF6"/>
    <w:rsid w:val="000A1317"/>
    <w:rsid w:val="000B3FA9"/>
    <w:rsid w:val="000B4506"/>
    <w:rsid w:val="000B48EF"/>
    <w:rsid w:val="000B72A0"/>
    <w:rsid w:val="000C244E"/>
    <w:rsid w:val="000C6D4E"/>
    <w:rsid w:val="000D15B4"/>
    <w:rsid w:val="000D56B4"/>
    <w:rsid w:val="000E0A3E"/>
    <w:rsid w:val="000F0054"/>
    <w:rsid w:val="00100C14"/>
    <w:rsid w:val="0010228F"/>
    <w:rsid w:val="0010339E"/>
    <w:rsid w:val="00105E19"/>
    <w:rsid w:val="00110CFE"/>
    <w:rsid w:val="00123161"/>
    <w:rsid w:val="00126612"/>
    <w:rsid w:val="00130779"/>
    <w:rsid w:val="00135DF1"/>
    <w:rsid w:val="00144A28"/>
    <w:rsid w:val="00146A23"/>
    <w:rsid w:val="0015257E"/>
    <w:rsid w:val="00152FB9"/>
    <w:rsid w:val="0016055E"/>
    <w:rsid w:val="0016483F"/>
    <w:rsid w:val="00164F22"/>
    <w:rsid w:val="00164F84"/>
    <w:rsid w:val="00170260"/>
    <w:rsid w:val="00170421"/>
    <w:rsid w:val="00170A1E"/>
    <w:rsid w:val="0017514D"/>
    <w:rsid w:val="001C1915"/>
    <w:rsid w:val="001C1B5A"/>
    <w:rsid w:val="001D2705"/>
    <w:rsid w:val="001D75BB"/>
    <w:rsid w:val="001F4E8F"/>
    <w:rsid w:val="001F57A4"/>
    <w:rsid w:val="0020259B"/>
    <w:rsid w:val="00206F25"/>
    <w:rsid w:val="0021249A"/>
    <w:rsid w:val="002140A4"/>
    <w:rsid w:val="0021458D"/>
    <w:rsid w:val="002165F1"/>
    <w:rsid w:val="00217AEE"/>
    <w:rsid w:val="00230250"/>
    <w:rsid w:val="00230425"/>
    <w:rsid w:val="002357EC"/>
    <w:rsid w:val="00236379"/>
    <w:rsid w:val="00240032"/>
    <w:rsid w:val="0024068A"/>
    <w:rsid w:val="0024072F"/>
    <w:rsid w:val="0025510A"/>
    <w:rsid w:val="00255840"/>
    <w:rsid w:val="00262676"/>
    <w:rsid w:val="00281710"/>
    <w:rsid w:val="00282B0A"/>
    <w:rsid w:val="002876A1"/>
    <w:rsid w:val="002A3A32"/>
    <w:rsid w:val="002B5183"/>
    <w:rsid w:val="002D0A15"/>
    <w:rsid w:val="002D15C4"/>
    <w:rsid w:val="002E0930"/>
    <w:rsid w:val="002E0A1B"/>
    <w:rsid w:val="002F14C8"/>
    <w:rsid w:val="002F3F0A"/>
    <w:rsid w:val="002F5913"/>
    <w:rsid w:val="002F6D41"/>
    <w:rsid w:val="002F7C64"/>
    <w:rsid w:val="003174EF"/>
    <w:rsid w:val="0032357E"/>
    <w:rsid w:val="003327C1"/>
    <w:rsid w:val="00355938"/>
    <w:rsid w:val="00393DF0"/>
    <w:rsid w:val="003A6D85"/>
    <w:rsid w:val="003A7C1F"/>
    <w:rsid w:val="003C021C"/>
    <w:rsid w:val="003C3714"/>
    <w:rsid w:val="003C4159"/>
    <w:rsid w:val="003C572F"/>
    <w:rsid w:val="003D1386"/>
    <w:rsid w:val="003D7CA3"/>
    <w:rsid w:val="003E063F"/>
    <w:rsid w:val="003F2625"/>
    <w:rsid w:val="00407FDA"/>
    <w:rsid w:val="0042017A"/>
    <w:rsid w:val="00433CE8"/>
    <w:rsid w:val="00434AF7"/>
    <w:rsid w:val="0043631A"/>
    <w:rsid w:val="00440B6F"/>
    <w:rsid w:val="004440C6"/>
    <w:rsid w:val="0046698E"/>
    <w:rsid w:val="00467EC8"/>
    <w:rsid w:val="00470D52"/>
    <w:rsid w:val="00471803"/>
    <w:rsid w:val="004807A0"/>
    <w:rsid w:val="004828F4"/>
    <w:rsid w:val="00483D42"/>
    <w:rsid w:val="00494B88"/>
    <w:rsid w:val="004A2B24"/>
    <w:rsid w:val="004A4CA3"/>
    <w:rsid w:val="004C5C6D"/>
    <w:rsid w:val="004D55BD"/>
    <w:rsid w:val="004E268F"/>
    <w:rsid w:val="004E44CB"/>
    <w:rsid w:val="004F023E"/>
    <w:rsid w:val="004F1F64"/>
    <w:rsid w:val="004F2681"/>
    <w:rsid w:val="00501E5E"/>
    <w:rsid w:val="00510F9A"/>
    <w:rsid w:val="00514AE7"/>
    <w:rsid w:val="00516552"/>
    <w:rsid w:val="00520F39"/>
    <w:rsid w:val="005247F3"/>
    <w:rsid w:val="00530093"/>
    <w:rsid w:val="00531437"/>
    <w:rsid w:val="00535D1B"/>
    <w:rsid w:val="005427EA"/>
    <w:rsid w:val="005600E0"/>
    <w:rsid w:val="00591439"/>
    <w:rsid w:val="00593CE6"/>
    <w:rsid w:val="005A7AFC"/>
    <w:rsid w:val="005B3DC6"/>
    <w:rsid w:val="005D4FC9"/>
    <w:rsid w:val="006002FC"/>
    <w:rsid w:val="0060484E"/>
    <w:rsid w:val="006065AA"/>
    <w:rsid w:val="00620625"/>
    <w:rsid w:val="006217B8"/>
    <w:rsid w:val="00622F26"/>
    <w:rsid w:val="00623699"/>
    <w:rsid w:val="00645633"/>
    <w:rsid w:val="0064663E"/>
    <w:rsid w:val="006520ED"/>
    <w:rsid w:val="006622E1"/>
    <w:rsid w:val="006862EB"/>
    <w:rsid w:val="00690DAF"/>
    <w:rsid w:val="00691677"/>
    <w:rsid w:val="00696AB3"/>
    <w:rsid w:val="00697731"/>
    <w:rsid w:val="006B397F"/>
    <w:rsid w:val="006B552A"/>
    <w:rsid w:val="006C38B1"/>
    <w:rsid w:val="006D78DF"/>
    <w:rsid w:val="006E486E"/>
    <w:rsid w:val="006E6084"/>
    <w:rsid w:val="0070481C"/>
    <w:rsid w:val="00706BB6"/>
    <w:rsid w:val="0073539D"/>
    <w:rsid w:val="0073622A"/>
    <w:rsid w:val="00736287"/>
    <w:rsid w:val="00740EB6"/>
    <w:rsid w:val="00741E31"/>
    <w:rsid w:val="007469B8"/>
    <w:rsid w:val="0076744B"/>
    <w:rsid w:val="0077144C"/>
    <w:rsid w:val="00775CCE"/>
    <w:rsid w:val="00775FF1"/>
    <w:rsid w:val="00785990"/>
    <w:rsid w:val="00787315"/>
    <w:rsid w:val="007D2E34"/>
    <w:rsid w:val="007E5888"/>
    <w:rsid w:val="007F3E57"/>
    <w:rsid w:val="007F6486"/>
    <w:rsid w:val="007F7981"/>
    <w:rsid w:val="008101C7"/>
    <w:rsid w:val="00811172"/>
    <w:rsid w:val="00813D5F"/>
    <w:rsid w:val="008520DB"/>
    <w:rsid w:val="00862CB0"/>
    <w:rsid w:val="0087042D"/>
    <w:rsid w:val="00887469"/>
    <w:rsid w:val="0089008F"/>
    <w:rsid w:val="008978F4"/>
    <w:rsid w:val="008A30EE"/>
    <w:rsid w:val="008B6413"/>
    <w:rsid w:val="008C0715"/>
    <w:rsid w:val="008C19F8"/>
    <w:rsid w:val="008D0A5A"/>
    <w:rsid w:val="008D28BF"/>
    <w:rsid w:val="009005A0"/>
    <w:rsid w:val="0090203E"/>
    <w:rsid w:val="00903B61"/>
    <w:rsid w:val="00912CF2"/>
    <w:rsid w:val="00914AED"/>
    <w:rsid w:val="009215C6"/>
    <w:rsid w:val="00923ED5"/>
    <w:rsid w:val="009254CD"/>
    <w:rsid w:val="0092759D"/>
    <w:rsid w:val="00927856"/>
    <w:rsid w:val="00936899"/>
    <w:rsid w:val="00940D41"/>
    <w:rsid w:val="00943247"/>
    <w:rsid w:val="009526F4"/>
    <w:rsid w:val="0097074C"/>
    <w:rsid w:val="00975D25"/>
    <w:rsid w:val="00982DFC"/>
    <w:rsid w:val="00984199"/>
    <w:rsid w:val="00985476"/>
    <w:rsid w:val="00985C08"/>
    <w:rsid w:val="009900FC"/>
    <w:rsid w:val="009A2495"/>
    <w:rsid w:val="009A3C01"/>
    <w:rsid w:val="009C3885"/>
    <w:rsid w:val="009D0329"/>
    <w:rsid w:val="009D07EF"/>
    <w:rsid w:val="009E0716"/>
    <w:rsid w:val="009F49C3"/>
    <w:rsid w:val="00A04FA2"/>
    <w:rsid w:val="00A337B7"/>
    <w:rsid w:val="00A3500D"/>
    <w:rsid w:val="00A377F8"/>
    <w:rsid w:val="00A414E9"/>
    <w:rsid w:val="00A45DEC"/>
    <w:rsid w:val="00A51FCF"/>
    <w:rsid w:val="00A53717"/>
    <w:rsid w:val="00A57417"/>
    <w:rsid w:val="00A6588D"/>
    <w:rsid w:val="00A664AE"/>
    <w:rsid w:val="00A76362"/>
    <w:rsid w:val="00A76C76"/>
    <w:rsid w:val="00A8388D"/>
    <w:rsid w:val="00AA53F0"/>
    <w:rsid w:val="00AA6EDB"/>
    <w:rsid w:val="00AC2A5A"/>
    <w:rsid w:val="00AC4D56"/>
    <w:rsid w:val="00AE1609"/>
    <w:rsid w:val="00AF3433"/>
    <w:rsid w:val="00B00EAF"/>
    <w:rsid w:val="00B13B74"/>
    <w:rsid w:val="00B151EF"/>
    <w:rsid w:val="00B21978"/>
    <w:rsid w:val="00B249A9"/>
    <w:rsid w:val="00B36104"/>
    <w:rsid w:val="00B421DF"/>
    <w:rsid w:val="00B44CCC"/>
    <w:rsid w:val="00B47F76"/>
    <w:rsid w:val="00B51A48"/>
    <w:rsid w:val="00B524FD"/>
    <w:rsid w:val="00B538AF"/>
    <w:rsid w:val="00B74556"/>
    <w:rsid w:val="00B85787"/>
    <w:rsid w:val="00B96E93"/>
    <w:rsid w:val="00BB062C"/>
    <w:rsid w:val="00BB59E6"/>
    <w:rsid w:val="00BC188F"/>
    <w:rsid w:val="00BC6796"/>
    <w:rsid w:val="00BC6BA1"/>
    <w:rsid w:val="00BD4464"/>
    <w:rsid w:val="00BF52AA"/>
    <w:rsid w:val="00C05509"/>
    <w:rsid w:val="00C14913"/>
    <w:rsid w:val="00C267B8"/>
    <w:rsid w:val="00C42AED"/>
    <w:rsid w:val="00C44ACC"/>
    <w:rsid w:val="00C453D4"/>
    <w:rsid w:val="00C477B8"/>
    <w:rsid w:val="00C47A3C"/>
    <w:rsid w:val="00C635A3"/>
    <w:rsid w:val="00C67F28"/>
    <w:rsid w:val="00C73895"/>
    <w:rsid w:val="00C969B7"/>
    <w:rsid w:val="00CA2C11"/>
    <w:rsid w:val="00CB0A46"/>
    <w:rsid w:val="00CB4F75"/>
    <w:rsid w:val="00CC4FC2"/>
    <w:rsid w:val="00CD06CA"/>
    <w:rsid w:val="00CD3520"/>
    <w:rsid w:val="00CE3373"/>
    <w:rsid w:val="00D05B4E"/>
    <w:rsid w:val="00D13D4A"/>
    <w:rsid w:val="00D31385"/>
    <w:rsid w:val="00D324D7"/>
    <w:rsid w:val="00D331CB"/>
    <w:rsid w:val="00D34396"/>
    <w:rsid w:val="00D528C1"/>
    <w:rsid w:val="00D552FF"/>
    <w:rsid w:val="00D62BA7"/>
    <w:rsid w:val="00D775EF"/>
    <w:rsid w:val="00D8545E"/>
    <w:rsid w:val="00D968C8"/>
    <w:rsid w:val="00DA3ABA"/>
    <w:rsid w:val="00DA5350"/>
    <w:rsid w:val="00DD1484"/>
    <w:rsid w:val="00DD1F77"/>
    <w:rsid w:val="00DD2F03"/>
    <w:rsid w:val="00DE3FA2"/>
    <w:rsid w:val="00DE69FB"/>
    <w:rsid w:val="00DF15B6"/>
    <w:rsid w:val="00E003B5"/>
    <w:rsid w:val="00E04790"/>
    <w:rsid w:val="00E04BE5"/>
    <w:rsid w:val="00E1431B"/>
    <w:rsid w:val="00E15F77"/>
    <w:rsid w:val="00E16A25"/>
    <w:rsid w:val="00E257FA"/>
    <w:rsid w:val="00E25C26"/>
    <w:rsid w:val="00E31FE3"/>
    <w:rsid w:val="00E41F46"/>
    <w:rsid w:val="00E55E0D"/>
    <w:rsid w:val="00E64161"/>
    <w:rsid w:val="00E65694"/>
    <w:rsid w:val="00E72879"/>
    <w:rsid w:val="00E72BE0"/>
    <w:rsid w:val="00E72D42"/>
    <w:rsid w:val="00E77F60"/>
    <w:rsid w:val="00E82A56"/>
    <w:rsid w:val="00E84480"/>
    <w:rsid w:val="00E928F0"/>
    <w:rsid w:val="00E93063"/>
    <w:rsid w:val="00EA0317"/>
    <w:rsid w:val="00EA1C9C"/>
    <w:rsid w:val="00EA5E52"/>
    <w:rsid w:val="00ED3350"/>
    <w:rsid w:val="00EE67C8"/>
    <w:rsid w:val="00EF53CB"/>
    <w:rsid w:val="00EF7F15"/>
    <w:rsid w:val="00F14155"/>
    <w:rsid w:val="00F159E0"/>
    <w:rsid w:val="00F37505"/>
    <w:rsid w:val="00F40965"/>
    <w:rsid w:val="00F45576"/>
    <w:rsid w:val="00F464C6"/>
    <w:rsid w:val="00F47D23"/>
    <w:rsid w:val="00F5088D"/>
    <w:rsid w:val="00F615C9"/>
    <w:rsid w:val="00F62984"/>
    <w:rsid w:val="00F64120"/>
    <w:rsid w:val="00F96BD1"/>
    <w:rsid w:val="00FA25A6"/>
    <w:rsid w:val="00FA2A79"/>
    <w:rsid w:val="00FA45FF"/>
    <w:rsid w:val="00FB2748"/>
    <w:rsid w:val="00FB353C"/>
    <w:rsid w:val="00FD21BF"/>
    <w:rsid w:val="00FE2DF9"/>
    <w:rsid w:val="00FF52CF"/>
    <w:rsid w:val="00FF543A"/>
    <w:rsid w:val="00FF702C"/>
    <w:rsid w:val="033B46C9"/>
    <w:rsid w:val="041C4ED7"/>
    <w:rsid w:val="046C646E"/>
    <w:rsid w:val="0C30471F"/>
    <w:rsid w:val="0E565D29"/>
    <w:rsid w:val="107E5052"/>
    <w:rsid w:val="12C90A4A"/>
    <w:rsid w:val="15123430"/>
    <w:rsid w:val="15D00326"/>
    <w:rsid w:val="1897144C"/>
    <w:rsid w:val="1AEE6385"/>
    <w:rsid w:val="1C71170A"/>
    <w:rsid w:val="25AE322E"/>
    <w:rsid w:val="2AEC6B2B"/>
    <w:rsid w:val="2C4B5AD3"/>
    <w:rsid w:val="3240586E"/>
    <w:rsid w:val="38DA461C"/>
    <w:rsid w:val="3A0D6176"/>
    <w:rsid w:val="3A5D1B43"/>
    <w:rsid w:val="3AE533B9"/>
    <w:rsid w:val="3B0000D1"/>
    <w:rsid w:val="3BBC60A6"/>
    <w:rsid w:val="3DD86AF2"/>
    <w:rsid w:val="3F542E8D"/>
    <w:rsid w:val="405759DA"/>
    <w:rsid w:val="43897158"/>
    <w:rsid w:val="461E5035"/>
    <w:rsid w:val="48E629B4"/>
    <w:rsid w:val="4B5160DF"/>
    <w:rsid w:val="4FAF75AB"/>
    <w:rsid w:val="50AB13A9"/>
    <w:rsid w:val="52557957"/>
    <w:rsid w:val="54DA538B"/>
    <w:rsid w:val="566B3CA2"/>
    <w:rsid w:val="5A1960FE"/>
    <w:rsid w:val="5A56129A"/>
    <w:rsid w:val="5B9F1014"/>
    <w:rsid w:val="5D613110"/>
    <w:rsid w:val="5E9B5B97"/>
    <w:rsid w:val="5F0960E2"/>
    <w:rsid w:val="60806E07"/>
    <w:rsid w:val="631501CB"/>
    <w:rsid w:val="68DE4FFE"/>
    <w:rsid w:val="691D13D0"/>
    <w:rsid w:val="6BB3371F"/>
    <w:rsid w:val="70180C13"/>
    <w:rsid w:val="709C192B"/>
    <w:rsid w:val="70C00187"/>
    <w:rsid w:val="715074EE"/>
    <w:rsid w:val="756920F3"/>
    <w:rsid w:val="7A231C4B"/>
    <w:rsid w:val="7BD87CB7"/>
    <w:rsid w:val="7E085243"/>
    <w:rsid w:val="7E2153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kern w:val="0"/>
      <w:sz w:val="18"/>
      <w:szCs w:val="18"/>
    </w:rPr>
  </w:style>
  <w:style w:type="paragraph" w:styleId="3">
    <w:name w:val="footer"/>
    <w:basedOn w:val="1"/>
    <w:link w:val="10"/>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qFormat/>
    <w:uiPriority w:val="22"/>
    <w:rPr>
      <w:b/>
      <w:bCs/>
    </w:rPr>
  </w:style>
  <w:style w:type="character" w:customStyle="1" w:styleId="9">
    <w:name w:val="页眉 Char"/>
    <w:link w:val="4"/>
    <w:qFormat/>
    <w:uiPriority w:val="99"/>
    <w:rPr>
      <w:sz w:val="18"/>
      <w:szCs w:val="18"/>
    </w:rPr>
  </w:style>
  <w:style w:type="character" w:customStyle="1" w:styleId="10">
    <w:name w:val="页脚 Char"/>
    <w:link w:val="3"/>
    <w:qFormat/>
    <w:uiPriority w:val="99"/>
    <w:rPr>
      <w:sz w:val="18"/>
      <w:szCs w:val="18"/>
    </w:rPr>
  </w:style>
  <w:style w:type="character" w:styleId="11">
    <w:name w:val="Placeholder Text"/>
    <w:semiHidden/>
    <w:qFormat/>
    <w:uiPriority w:val="99"/>
    <w:rPr>
      <w:color w:val="808080"/>
    </w:rPr>
  </w:style>
  <w:style w:type="character" w:customStyle="1" w:styleId="12">
    <w:name w:val="批注框文本 Char"/>
    <w:link w:val="2"/>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2998</Words>
  <Characters>3336</Characters>
  <Lines>21</Lines>
  <Paragraphs>5</Paragraphs>
  <TotalTime>344</TotalTime>
  <ScaleCrop>false</ScaleCrop>
  <LinksUpToDate>false</LinksUpToDate>
  <CharactersWithSpaces>3358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2023-01-18T08:49:00Z</dcterms:created>
  <dc:creator>Anonymous</dc:creator>
  <cp:lastModifiedBy>群</cp:lastModifiedBy>
  <cp:lastPrinted>2023-02-14T02:42:00Z</cp:lastPrinted>
  <dcterms:modified xsi:type="dcterms:W3CDTF">2023-03-20T01:16:36Z</dcterms:modified>
  <dc:title>附件2-4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A3ED67774FF64C62A14E9EB756D59C6C</vt:lpwstr>
  </property>
</Properties>
</file>